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45"/>
          <w:sz-cs w:val="45"/>
          <w:spacing w:val="0"/>
          <w:color w:val="353535"/>
        </w:rPr>
        <w:t xml:space="preserve">Armenia's experience on harmonizing national policy, programs, strategies, goals for climate change and sustainable development goals</w:t>
      </w:r>
      <w:r>
        <w:rPr>
          <w:rFonts w:ascii="Times" w:hAnsi="Times" w:cs="Times"/>
          <w:sz w:val="34"/>
          <w:sz-cs w:val="34"/>
          <w:spacing w:val="0"/>
          <w:color w:val="353535"/>
        </w:rPr>
        <w:t xml:space="preserve"/>
      </w:r>
    </w:p>
    <w:p>
      <w:pPr/>
      <w:r>
        <w:rPr>
          <w:rFonts w:ascii="Times" w:hAnsi="Times" w:cs="Times"/>
          <w:sz w:val="45"/>
          <w:sz-cs w:val="45"/>
          <w:spacing w:val="0"/>
          <w:color w:val="353535"/>
        </w:rPr>
        <w:t xml:space="preserve"> </w:t>
      </w:r>
      <w:r>
        <w:rPr>
          <w:rFonts w:ascii="Times" w:hAnsi="Times" w:cs="Times"/>
          <w:sz w:val="34"/>
          <w:sz-cs w:val="34"/>
          <w:spacing w:val="0"/>
          <w:color w:val="353535"/>
        </w:rPr>
        <w:t xml:space="preserve"/>
      </w:r>
    </w:p>
    <w:p>
      <w:pPr/>
      <w:r>
        <w:rPr>
          <w:rFonts w:ascii="Times" w:hAnsi="Times" w:cs="Times"/>
          <w:sz w:val="45"/>
          <w:sz-cs w:val="45"/>
          <w:spacing w:val="0"/>
          <w:color w:val="353535"/>
        </w:rPr>
        <w:t xml:space="preserve">The Republic of Armenia has at the highest level emphasized the need of harmonization of the principle of environmental protection and sustainable development. Article 12 of the Constitution lays down that the state promotes the protection, improvement and restoration of the environment, the rational use of natural resources, guided by the principle of sustainable development and taking into account the responsibility before future generations.</w:t>
      </w:r>
      <w:r>
        <w:rPr>
          <w:rFonts w:ascii="Times" w:hAnsi="Times" w:cs="Times"/>
          <w:sz w:val="34"/>
          <w:sz-cs w:val="34"/>
          <w:spacing w:val="0"/>
          <w:color w:val="353535"/>
        </w:rPr>
        <w:t xml:space="preserve"/>
      </w:r>
    </w:p>
    <w:p>
      <w:pPr/>
      <w:r>
        <w:rPr>
          <w:rFonts w:ascii="Times" w:hAnsi="Times" w:cs="Times"/>
          <w:sz w:val="34"/>
          <w:sz-cs w:val="34"/>
          <w:spacing w:val="0"/>
          <w:color w:val="353535"/>
        </w:rPr>
        <w:t xml:space="preserve"> </w:t>
      </w:r>
    </w:p>
    <w:p>
      <w:pPr/>
      <w:r>
        <w:rPr>
          <w:rFonts w:ascii="Times" w:hAnsi="Times" w:cs="Times"/>
          <w:sz w:val="45"/>
          <w:sz-cs w:val="45"/>
          <w:spacing w:val="0"/>
          <w:color w:val="353535"/>
        </w:rPr>
        <w:t xml:space="preserve">In June 2018, Armenia ratified the Comprehensive and Enhanced Partnership Agreement between the Republic of Armenia and the European, by which the parties committed to respect the principles of sustainable development, to develop and strengthen their cooperation on environmental issues, thereby contributing to the long-term objective of sustainable development and greening the economy.</w:t>
      </w:r>
      <w:r>
        <w:rPr>
          <w:rFonts w:ascii="Times" w:hAnsi="Times" w:cs="Times"/>
          <w:sz w:val="34"/>
          <w:sz-cs w:val="34"/>
          <w:spacing w:val="0"/>
          <w:color w:val="353535"/>
        </w:rPr>
        <w:t xml:space="preserve"/>
      </w:r>
    </w:p>
    <w:p>
      <w:pPr/>
      <w:r>
        <w:rPr>
          <w:rFonts w:ascii="Times" w:hAnsi="Times" w:cs="Times"/>
          <w:sz w:val="45"/>
          <w:sz-cs w:val="45"/>
          <w:spacing w:val="0"/>
          <w:color w:val="353535"/>
        </w:rPr>
        <w:t xml:space="preserve"> </w:t>
      </w:r>
      <w:r>
        <w:rPr>
          <w:rFonts w:ascii="Times" w:hAnsi="Times" w:cs="Times"/>
          <w:sz w:val="34"/>
          <w:sz-cs w:val="34"/>
          <w:spacing w:val="0"/>
          <w:color w:val="353535"/>
        </w:rPr>
        <w:t xml:space="preserve"/>
      </w:r>
    </w:p>
    <w:p>
      <w:pPr/>
      <w:r>
        <w:rPr>
          <w:rFonts w:ascii="Times" w:hAnsi="Times" w:cs="Times"/>
          <w:sz w:val="45"/>
          <w:sz-cs w:val="45"/>
          <w:spacing w:val="0"/>
          <w:color w:val="353535"/>
        </w:rPr>
        <w:t xml:space="preserve">One of the main and most important goals of the Agenda 2030 for Sustainable Development is to create conditions for sustainable, inclusive and sustained economic growth. From June 2018, the Ministry of Nature Protection of the Republic of Armenia has taken responsible mission to integrate environmental protection policy into economic, social and other policies, as laid down in Agenda 2030, in particular, in paragraph 8.4 of 8th Goal.</w:t>
      </w:r>
      <w:r>
        <w:rPr>
          <w:rFonts w:ascii="Times" w:hAnsi="Times" w:cs="Times"/>
          <w:sz w:val="34"/>
          <w:sz-cs w:val="34"/>
          <w:spacing w:val="0"/>
          <w:color w:val="353535"/>
        </w:rPr>
        <w:t xml:space="preserve"/>
      </w:r>
    </w:p>
    <w:p>
      <w:pPr/>
      <w:r>
        <w:rPr>
          <w:rFonts w:ascii="Times" w:hAnsi="Times" w:cs="Times"/>
          <w:sz w:val="45"/>
          <w:sz-cs w:val="45"/>
          <w:spacing w:val="0"/>
          <w:color w:val="353535"/>
        </w:rPr>
        <w:t xml:space="preserve"> </w:t>
      </w:r>
      <w:r>
        <w:rPr>
          <w:rFonts w:ascii="Times" w:hAnsi="Times" w:cs="Times"/>
          <w:sz w:val="34"/>
          <w:sz-cs w:val="34"/>
          <w:spacing w:val="0"/>
          <w:color w:val="353535"/>
        </w:rPr>
        <w:t xml:space="preserve"/>
      </w:r>
    </w:p>
    <w:p>
      <w:pPr/>
      <w:r>
        <w:rPr>
          <w:rFonts w:ascii="Times" w:hAnsi="Times" w:cs="Times"/>
          <w:sz w:val="45"/>
          <w:sz-cs w:val="45"/>
          <w:spacing w:val="0"/>
          <w:color w:val="353535"/>
        </w:rPr>
        <w:t xml:space="preserve">This policy will be carried out with a comprehensive involvement of all stakeholders - public authorities, non-governmental organizations, private sector (large, medium and small enterprises), citizens and others – to deliver everyone the idea that green economy and environmental protection component only promotes economic growth and prosperity, rather than hindering it. This commitment was also undertaken by the Comprehensive and Enhanced Partnership Agreement with the EU, which laid down that cooperation between parties shall also aim at integrating the environment into policy areas other than environmental policy.</w:t>
      </w:r>
      <w:r>
        <w:rPr>
          <w:rFonts w:ascii="Times" w:hAnsi="Times" w:cs="Times"/>
          <w:sz w:val="34"/>
          <w:sz-cs w:val="34"/>
          <w:spacing w:val="0"/>
          <w:color w:val="353535"/>
        </w:rPr>
        <w:t xml:space="preserve"/>
      </w:r>
    </w:p>
    <w:p>
      <w:pPr/>
      <w:r>
        <w:rPr>
          <w:rFonts w:ascii="Times" w:hAnsi="Times" w:cs="Times"/>
          <w:sz w:val="45"/>
          <w:sz-cs w:val="45"/>
          <w:spacing w:val="0"/>
          <w:color w:val="353535"/>
        </w:rPr>
        <w:t xml:space="preserve"> </w:t>
      </w:r>
      <w:r>
        <w:rPr>
          <w:rFonts w:ascii="Times" w:hAnsi="Times" w:cs="Times"/>
          <w:sz w:val="34"/>
          <w:sz-cs w:val="34"/>
          <w:spacing w:val="0"/>
          <w:color w:val="353535"/>
        </w:rPr>
        <w:t xml:space="preserve"/>
      </w:r>
    </w:p>
    <w:p>
      <w:pPr/>
      <w:r>
        <w:rPr>
          <w:rFonts w:ascii="Times" w:hAnsi="Times" w:cs="Times"/>
          <w:sz w:val="45"/>
          <w:sz-cs w:val="45"/>
          <w:spacing w:val="0"/>
          <w:color w:val="353535"/>
        </w:rPr>
        <w:t xml:space="preserve">In spite of the limited resources and geographical location, in particular, landlocked status, the Republic of Armenia does not avoid to set ambitious goals, as it is defined in point 78 paragraph 2 of Agenda 2030 and these goals are in harmony from the point of view of sustainable development and climate change.</w:t>
      </w:r>
      <w:r>
        <w:rPr>
          <w:rFonts w:ascii="Times" w:hAnsi="Times" w:cs="Times"/>
          <w:sz w:val="34"/>
          <w:sz-cs w:val="34"/>
          <w:spacing w:val="0"/>
          <w:color w:val="353535"/>
        </w:rPr>
        <w:t xml:space="preserve"/>
      </w:r>
    </w:p>
    <w:p>
      <w:pPr/>
      <w:r>
        <w:rPr>
          <w:rFonts w:ascii="Times" w:hAnsi="Times" w:cs="Times"/>
          <w:sz w:val="45"/>
          <w:sz-cs w:val="45"/>
          <w:spacing w:val="0"/>
          <w:color w:val="353535"/>
        </w:rPr>
        <w:t xml:space="preserve">This is evident by, for example, the ambitious goal to drastically increase, up to double the forest areas in the Republic of Armenia, which is a good example of achieving the 13-th Goal of Agenda 2030 and Article 4 of Paris Agreement.</w:t>
      </w:r>
      <w:r>
        <w:rPr>
          <w:rFonts w:ascii="Times" w:hAnsi="Times" w:cs="Times"/>
          <w:sz w:val="34"/>
          <w:sz-cs w:val="34"/>
          <w:spacing w:val="0"/>
          <w:color w:val="353535"/>
        </w:rPr>
        <w:t xml:space="preserve"/>
      </w:r>
    </w:p>
    <w:p>
      <w:pPr/>
      <w:r>
        <w:rPr>
          <w:rFonts w:ascii="Times" w:hAnsi="Times" w:cs="Times"/>
          <w:sz w:val="45"/>
          <w:sz-cs w:val="45"/>
          <w:spacing w:val="0"/>
          <w:color w:val="353535"/>
        </w:rPr>
        <w:t xml:space="preserve"> </w:t>
      </w:r>
      <w:r>
        <w:rPr>
          <w:rFonts w:ascii="Times" w:hAnsi="Times" w:cs="Times"/>
          <w:sz w:val="34"/>
          <w:sz-cs w:val="34"/>
          <w:spacing w:val="0"/>
          <w:color w:val="353535"/>
        </w:rPr>
        <w:t xml:space="preserve"/>
      </w:r>
    </w:p>
    <w:p>
      <w:pPr/>
      <w:r>
        <w:rPr>
          <w:rFonts w:ascii="Times" w:hAnsi="Times" w:cs="Times"/>
          <w:sz w:val="45"/>
          <w:sz-cs w:val="45"/>
          <w:spacing w:val="0"/>
          <w:color w:val="353535"/>
        </w:rPr>
        <w:t xml:space="preserve">On 10 September 2015 the Government of the Republic of Armenia adopted Nationally determined contributions/NDCs under UNFCCC, which outlined the basic approaches of the Republic of Armenia in the sphere of climate change policy, NDC principles and other regulations.</w:t>
      </w:r>
      <w:r>
        <w:rPr>
          <w:rFonts w:ascii="Times" w:hAnsi="Times" w:cs="Times"/>
          <w:sz w:val="34"/>
          <w:sz-cs w:val="34"/>
          <w:spacing w:val="0"/>
          <w:color w:val="353535"/>
        </w:rPr>
        <w:t xml:space="preserve"/>
      </w:r>
    </w:p>
    <w:p>
      <w:pPr/>
      <w:r>
        <w:rPr>
          <w:rFonts w:ascii="Times" w:hAnsi="Times" w:cs="Times"/>
          <w:sz w:val="45"/>
          <w:sz-cs w:val="45"/>
          <w:spacing w:val="0"/>
          <w:color w:val="353535"/>
        </w:rPr>
        <w:t xml:space="preserve">In this document also we can find approaches, which are in harmony from the point of view of climate change and SD goals. In particular, the document states that climate mitigation actions should not lead to social and economic degradation, but should contribute to the socio-economic development of the Republic of Armenia, and ecosystem approach should be the basis for them.</w:t>
      </w:r>
      <w:r>
        <w:rPr>
          <w:rFonts w:ascii="Times" w:hAnsi="Times" w:cs="Times"/>
          <w:sz w:val="34"/>
          <w:sz-cs w:val="34"/>
          <w:spacing w:val="0"/>
          <w:color w:val="353535"/>
        </w:rPr>
        <w:t xml:space="preserve"/>
      </w:r>
    </w:p>
    <w:p>
      <w:pPr/>
      <w:r>
        <w:rPr>
          <w:rFonts w:ascii="Times" w:hAnsi="Times" w:cs="Times"/>
          <w:sz w:val="34"/>
          <w:sz-cs w:val="34"/>
          <w:spacing w:val="0"/>
          <w:color w:val="353535"/>
        </w:rPr>
        <w:t xml:space="preserve"> </w:t>
      </w:r>
    </w:p>
    <w:p>
      <w:pPr/>
      <w:r>
        <w:rPr>
          <w:rFonts w:ascii="Times" w:hAnsi="Times" w:cs="Times"/>
          <w:sz w:val="45"/>
          <w:sz-cs w:val="45"/>
          <w:spacing w:val="0"/>
          <w:color w:val="353535"/>
        </w:rPr>
        <w:t xml:space="preserve">  These examples, I have mentioned, are, of course, positive. These will be the basic principles on which Armenia's harmonized policy in the sphere of SDG and climate change will be developed, including the adaptation policy and taking into account the country's peculiarities. </w:t>
      </w:r>
      <w:r>
        <w:rPr>
          <w:rFonts w:ascii="Times" w:hAnsi="Times" w:cs="Times"/>
          <w:sz w:val="34"/>
          <w:sz-cs w:val="34"/>
          <w:spacing w:val="0"/>
          <w:color w:val="353535"/>
        </w:rPr>
        <w:t xml:space="preserve"/>
      </w:r>
    </w:p>
    <w:p>
      <w:pPr/>
      <w:r>
        <w:rPr>
          <w:rFonts w:ascii="Times" w:hAnsi="Times" w:cs="Times"/>
          <w:sz w:val="45"/>
          <w:sz-cs w:val="45"/>
          <w:spacing w:val="0"/>
          <w:color w:val="353535"/>
        </w:rPr>
        <w:t xml:space="preserve"> </w:t>
      </w:r>
      <w:r>
        <w:rPr>
          <w:rFonts w:ascii="Times" w:hAnsi="Times" w:cs="Times"/>
          <w:sz w:val="34"/>
          <w:sz-cs w:val="34"/>
          <w:spacing w:val="0"/>
          <w:color w:val="353535"/>
        </w:rPr>
        <w:t xml:space="preserve"/>
      </w:r>
    </w:p>
    <w:p>
      <w:pPr/>
      <w:r>
        <w:rPr>
          <w:rFonts w:ascii="Times" w:hAnsi="Times" w:cs="Times"/>
          <w:sz w:val="45"/>
          <w:sz-cs w:val="45"/>
          <w:spacing w:val="0"/>
          <w:color w:val="353535"/>
        </w:rPr>
        <w:t xml:space="preserve">Therefore, we also recognize the fact that there is still much work to be done, and from this point of view we find necessary to underline that Armenia is ready to extend harmonized activities in the sphere of SDG and climate change and to set more ambitious goals by reviewing nationally determined activities and regulations or by adopting new ones taking into account Country’s peculiarities, needs and capabilities.</w:t>
      </w:r>
      <w:r>
        <w:rPr>
          <w:rFonts w:ascii="Times" w:hAnsi="Times" w:cs="Times"/>
          <w:sz w:val="34"/>
          <w:sz-cs w:val="34"/>
          <w:spacing w:val="0"/>
          <w:color w:val="353535"/>
        </w:rPr>
        <w:t xml:space="preserve"/>
      </w:r>
    </w:p>
    <w:p>
      <w:pPr/>
      <w:r>
        <w:rPr>
          <w:rFonts w:ascii="Times" w:hAnsi="Times" w:cs="Times"/>
          <w:sz w:val="45"/>
          <w:sz-cs w:val="45"/>
          <w:spacing w:val="0"/>
          <w:color w:val="353535"/>
        </w:rPr>
        <w:t xml:space="preserve"> </w:t>
      </w:r>
      <w:r>
        <w:rPr>
          <w:rFonts w:ascii="Times" w:hAnsi="Times" w:cs="Times"/>
          <w:sz w:val="34"/>
          <w:sz-cs w:val="34"/>
          <w:spacing w:val="0"/>
          <w:color w:val="353535"/>
        </w:rPr>
        <w:t xml:space="preserve"/>
      </w:r>
    </w:p>
    <w:p>
      <w:pPr/>
      <w:r>
        <w:rPr>
          <w:rFonts w:ascii="Times" w:hAnsi="Times" w:cs="Times"/>
          <w:sz w:val="45"/>
          <w:sz-cs w:val="45"/>
          <w:spacing w:val="0"/>
          <w:color w:val="353535"/>
        </w:rPr>
        <w:t xml:space="preserve">SDG Lab is one of the successful examples for us. It is the world’s first National SDG Innovation Lab that is a joint initiative of the Government of Armenia and the United Nations. The Lab was set up in 2017, to draw up on innovative methodologies from across the world to support and accelerate the SDG implementation and nationalization process in Armenia. The main purpose of the lab is the identification of the implementation and funding gaps, introduction of prototype solutions and new models of funding as well as measurement of the impact and raise country profile and public awareness. One of the first steps taken by SDG Innovation Lab was consultation related to preventing plastic bags and initiation national media outreach. Currently the legislative initiation on new environmental tax is under development.</w:t>
      </w:r>
      <w:r>
        <w:rPr>
          <w:rFonts w:ascii="Times" w:hAnsi="Times" w:cs="Times"/>
          <w:sz w:val="34"/>
          <w:sz-cs w:val="34"/>
          <w:spacing w:val="0"/>
          <w:color w:val="353535"/>
        </w:rPr>
        <w:t xml:space="preserve"/>
      </w:r>
    </w:p>
    <w:p>
      <w:pPr/>
      <w:r>
        <w:rPr>
          <w:rFonts w:ascii="Times" w:hAnsi="Times" w:cs="Times"/>
          <w:sz w:val="45"/>
          <w:sz-cs w:val="45"/>
          <w:spacing w:val="0"/>
          <w:color w:val="353535"/>
        </w:rPr>
        <w:t xml:space="preserve"> </w:t>
      </w:r>
      <w:r>
        <w:rPr>
          <w:rFonts w:ascii="Times" w:hAnsi="Times" w:cs="Times"/>
          <w:sz w:val="34"/>
          <w:sz-cs w:val="34"/>
          <w:spacing w:val="0"/>
          <w:color w:val="353535"/>
        </w:rPr>
        <w:t xml:space="preserve"/>
      </w:r>
    </w:p>
    <w:p>
      <w:pPr/>
      <w:r>
        <w:rPr>
          <w:rFonts w:ascii="Times" w:hAnsi="Times" w:cs="Times"/>
          <w:sz w:val="45"/>
          <w:sz-cs w:val="45"/>
          <w:spacing w:val="0"/>
          <w:color w:val="353535"/>
        </w:rPr>
        <w:t xml:space="preserve"> Climate Change Technology Accelerator (CCTA) was launched on September 5, 2018.</w:t>
      </w:r>
      <w:r>
        <w:rPr>
          <w:rFonts w:ascii="Times" w:hAnsi="Times" w:cs="Times"/>
          <w:sz w:val="34"/>
          <w:sz-cs w:val="34"/>
          <w:spacing w:val="0"/>
          <w:color w:val="353535"/>
        </w:rPr>
        <w:t xml:space="preserve"/>
      </w:r>
    </w:p>
    <w:p>
      <w:pPr/>
      <w:r>
        <w:rPr>
          <w:rFonts w:ascii="Times" w:hAnsi="Times" w:cs="Times"/>
          <w:sz w:val="45"/>
          <w:sz-cs w:val="45"/>
          <w:spacing w:val="0"/>
          <w:color w:val="353535"/>
        </w:rPr>
        <w:t xml:space="preserve"> The core mission of CCTA is to establish a sustainable mechanism for the promotion of innovations and replication of technological solutions in Climate Change adaptation and mitigation activities related to agriculture and forestry sector. CCTA will come to help start-up teams, innovators, scientists, engineers, researchers, and entrepreneurs to move their products to the market, create new ventures, and promote innovation and entrepreneurship.</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generator>
</meta>
</file>