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594DE" w14:textId="77777777" w:rsidR="002E1F18" w:rsidRDefault="00383DC7" w:rsidP="00383DC7">
      <w:pPr>
        <w:rPr>
          <w:b/>
          <w:color w:val="00B0F0"/>
          <w:sz w:val="28"/>
          <w:szCs w:val="28"/>
          <w:lang w:val="en-US"/>
        </w:rPr>
      </w:pPr>
      <w:r w:rsidRPr="009D393C">
        <w:rPr>
          <w:rFonts w:ascii="Calibri" w:hAnsi="Calibri" w:cs="Calibri"/>
          <w:b/>
          <w:noProof/>
          <w:color w:val="C00000"/>
          <w:lang w:eastAsia="en-GB"/>
        </w:rPr>
        <w:drawing>
          <wp:anchor distT="0" distB="0" distL="114300" distR="114300" simplePos="0" relativeHeight="251659264" behindDoc="1" locked="0" layoutInCell="1" allowOverlap="1" wp14:anchorId="608EDD0E" wp14:editId="2A2D8599">
            <wp:simplePos x="0" y="0"/>
            <wp:positionH relativeFrom="margin">
              <wp:align>center</wp:align>
            </wp:positionH>
            <wp:positionV relativeFrom="paragraph">
              <wp:posOffset>-552505</wp:posOffset>
            </wp:positionV>
            <wp:extent cx="5756636" cy="81898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3_30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636" cy="818985"/>
                    </a:xfrm>
                    <a:prstGeom prst="rect">
                      <a:avLst/>
                    </a:prstGeom>
                  </pic:spPr>
                </pic:pic>
              </a:graphicData>
            </a:graphic>
            <wp14:sizeRelH relativeFrom="page">
              <wp14:pctWidth>0</wp14:pctWidth>
            </wp14:sizeRelH>
            <wp14:sizeRelV relativeFrom="page">
              <wp14:pctHeight>0</wp14:pctHeight>
            </wp14:sizeRelV>
          </wp:anchor>
        </w:drawing>
      </w:r>
    </w:p>
    <w:p w14:paraId="2159DF93" w14:textId="5746BED6" w:rsidR="00383DC7" w:rsidRPr="00225326" w:rsidRDefault="00383DC7" w:rsidP="002E1F18">
      <w:r w:rsidRPr="002E1F18">
        <w:rPr>
          <w:b/>
          <w:color w:val="00B0F0"/>
          <w:sz w:val="24"/>
          <w:szCs w:val="24"/>
          <w:lang w:val="en-US"/>
        </w:rPr>
        <w:t xml:space="preserve">Session on </w:t>
      </w:r>
      <w:r w:rsidRPr="002E1F18">
        <w:rPr>
          <w:b/>
          <w:color w:val="00B0F0"/>
          <w:sz w:val="24"/>
          <w:szCs w:val="24"/>
        </w:rPr>
        <w:t>Synergies in action (II): Promoting cross-</w:t>
      </w:r>
      <w:proofErr w:type="spellStart"/>
      <w:r w:rsidRPr="002E1F18">
        <w:rPr>
          <w:b/>
          <w:color w:val="00B0F0"/>
          <w:sz w:val="24"/>
          <w:szCs w:val="24"/>
        </w:rPr>
        <w:t>sectoral</w:t>
      </w:r>
      <w:proofErr w:type="spellEnd"/>
      <w:r w:rsidRPr="002E1F18">
        <w:rPr>
          <w:b/>
          <w:color w:val="00B0F0"/>
          <w:sz w:val="24"/>
          <w:szCs w:val="24"/>
        </w:rPr>
        <w:t xml:space="preserve"> integrated response for a just transition: Promoting prosperity”.  </w:t>
      </w:r>
      <w:r w:rsidRPr="00225326">
        <w:t xml:space="preserve">15:30 – 17:00 on 1 April.  </w:t>
      </w:r>
    </w:p>
    <w:p w14:paraId="77EE0D7A" w14:textId="77777777" w:rsidR="001B4162" w:rsidRPr="00225326" w:rsidRDefault="001B4162" w:rsidP="001B4162">
      <w:pPr>
        <w:pBdr>
          <w:bottom w:val="single" w:sz="4" w:space="1" w:color="auto"/>
        </w:pBdr>
        <w:rPr>
          <w:b/>
        </w:rPr>
      </w:pPr>
      <w:r w:rsidRPr="00225326">
        <w:rPr>
          <w:b/>
        </w:rPr>
        <w:t>BACKGROUND</w:t>
      </w:r>
    </w:p>
    <w:p w14:paraId="230D0554" w14:textId="2FCD9B0E" w:rsidR="007A27DA" w:rsidRPr="00225326" w:rsidRDefault="00CA5C1A" w:rsidP="002E1F18">
      <w:pPr>
        <w:tabs>
          <w:tab w:val="center" w:pos="4425"/>
        </w:tabs>
        <w:spacing w:after="120" w:line="240" w:lineRule="auto"/>
        <w:jc w:val="both"/>
        <w:rPr>
          <w:rFonts w:cs="Times New Roman"/>
        </w:rPr>
      </w:pPr>
      <w:r w:rsidRPr="00225326">
        <w:rPr>
          <w:rFonts w:cs="Times New Roman"/>
        </w:rPr>
        <w:t>A transition towards low-carbon</w:t>
      </w:r>
      <w:r w:rsidR="007A27DA" w:rsidRPr="00225326">
        <w:rPr>
          <w:rFonts w:cs="Times New Roman"/>
        </w:rPr>
        <w:t xml:space="preserve"> and climate-resilient economies will impact</w:t>
      </w:r>
      <w:r w:rsidR="00D80F9A" w:rsidRPr="00225326">
        <w:rPr>
          <w:rFonts w:cs="Times New Roman"/>
        </w:rPr>
        <w:t xml:space="preserve"> </w:t>
      </w:r>
      <w:r w:rsidR="007A27DA" w:rsidRPr="00225326">
        <w:rPr>
          <w:rFonts w:cs="Times New Roman"/>
        </w:rPr>
        <w:t xml:space="preserve">societies and communities in several ways, with </w:t>
      </w:r>
      <w:r w:rsidR="00567C0A" w:rsidRPr="00225326">
        <w:rPr>
          <w:rFonts w:cs="Times New Roman"/>
        </w:rPr>
        <w:t xml:space="preserve">potentially </w:t>
      </w:r>
      <w:r w:rsidR="007A27DA" w:rsidRPr="00225326">
        <w:rPr>
          <w:rFonts w:cs="Times New Roman"/>
        </w:rPr>
        <w:t xml:space="preserve">positive and negative effects. </w:t>
      </w:r>
      <w:r w:rsidR="00383DC7" w:rsidRPr="00225326">
        <w:rPr>
          <w:rFonts w:cs="Times New Roman"/>
        </w:rPr>
        <w:t>While there is overwhelming evidence to suggest that ambition climate action can ultimately yield pros</w:t>
      </w:r>
      <w:r w:rsidR="00A4570A" w:rsidRPr="00225326">
        <w:rPr>
          <w:rFonts w:cs="Times New Roman"/>
        </w:rPr>
        <w:t>perity</w:t>
      </w:r>
      <w:r w:rsidR="00383DC7" w:rsidRPr="00225326">
        <w:rPr>
          <w:rFonts w:cs="Times New Roman"/>
        </w:rPr>
        <w:t xml:space="preserve">, it is crucial to ensure a just transition for all through integrated responses. </w:t>
      </w:r>
      <w:r w:rsidR="007A27DA" w:rsidRPr="00225326">
        <w:rPr>
          <w:rFonts w:cs="Times New Roman"/>
        </w:rPr>
        <w:t xml:space="preserve">The Paris Agreement on climate change recognize the need to address all the effects </w:t>
      </w:r>
      <w:r w:rsidR="00C90F41" w:rsidRPr="00225326">
        <w:rPr>
          <w:rFonts w:cs="Times New Roman"/>
        </w:rPr>
        <w:t xml:space="preserve">of climate change and policy responses to it, </w:t>
      </w:r>
      <w:r w:rsidR="007A27DA" w:rsidRPr="00225326">
        <w:rPr>
          <w:rFonts w:cs="Times New Roman"/>
        </w:rPr>
        <w:t xml:space="preserve">noting “the imperatives of a just transition of the workforce and the creation of decent work and quality jobs in accordance with nationally defined development priorities”. </w:t>
      </w:r>
    </w:p>
    <w:p w14:paraId="5CEE2DE2" w14:textId="77777777" w:rsidR="00A4570A" w:rsidRDefault="00A4570A" w:rsidP="002E1F18">
      <w:pPr>
        <w:tabs>
          <w:tab w:val="center" w:pos="4425"/>
        </w:tabs>
        <w:spacing w:after="120" w:line="240" w:lineRule="auto"/>
        <w:jc w:val="both"/>
        <w:rPr>
          <w:rFonts w:cs="Times New Roman"/>
        </w:rPr>
      </w:pPr>
      <w:r w:rsidRPr="00225326">
        <w:rPr>
          <w:rFonts w:cs="Times New Roman"/>
        </w:rPr>
        <w:t xml:space="preserve">A just transition to sustainability is about ensuring that the economic, environmental and social consequences of the transformation of economies and societies towards greater sustainability are managed in ways that maximize opportunities of decent work for all, reduce inequalities, promote social justice, and support industries, workers and communities negatively impacted. </w:t>
      </w:r>
    </w:p>
    <w:p w14:paraId="70BDB9BD" w14:textId="35AC2047" w:rsidR="00A4570A" w:rsidRPr="00225326" w:rsidRDefault="00A4570A" w:rsidP="002E1F18">
      <w:pPr>
        <w:tabs>
          <w:tab w:val="center" w:pos="4425"/>
        </w:tabs>
        <w:spacing w:after="120" w:line="240" w:lineRule="auto"/>
        <w:jc w:val="both"/>
        <w:rPr>
          <w:rFonts w:cs="Times New Roman"/>
        </w:rPr>
      </w:pPr>
      <w:r w:rsidRPr="00225326">
        <w:rPr>
          <w:rFonts w:cs="Times New Roman"/>
        </w:rPr>
        <w:t xml:space="preserve">To that effect, </w:t>
      </w:r>
      <w:r w:rsidR="00383DC7" w:rsidRPr="00225326">
        <w:rPr>
          <w:rFonts w:cs="Times New Roman"/>
        </w:rPr>
        <w:t>cross-</w:t>
      </w:r>
      <w:proofErr w:type="spellStart"/>
      <w:r w:rsidR="00383DC7" w:rsidRPr="00225326">
        <w:rPr>
          <w:rFonts w:cs="Times New Roman"/>
        </w:rPr>
        <w:t>sectoral</w:t>
      </w:r>
      <w:proofErr w:type="spellEnd"/>
      <w:r w:rsidR="00383DC7" w:rsidRPr="00225326">
        <w:rPr>
          <w:rFonts w:cs="Times New Roman"/>
        </w:rPr>
        <w:t xml:space="preserve"> integrated responses to climate change are essential</w:t>
      </w:r>
      <w:r w:rsidRPr="00225326">
        <w:rPr>
          <w:rFonts w:cs="Times New Roman"/>
        </w:rPr>
        <w:t xml:space="preserve">. </w:t>
      </w:r>
      <w:r w:rsidR="00C90F41" w:rsidRPr="00225326">
        <w:rPr>
          <w:rFonts w:cs="Times New Roman"/>
        </w:rPr>
        <w:t>Cross-</w:t>
      </w:r>
      <w:proofErr w:type="spellStart"/>
      <w:r w:rsidR="00C90F41" w:rsidRPr="00225326">
        <w:rPr>
          <w:rFonts w:cs="Times New Roman"/>
        </w:rPr>
        <w:t>sectoral</w:t>
      </w:r>
      <w:proofErr w:type="spellEnd"/>
      <w:r w:rsidR="00C90F41" w:rsidRPr="00225326">
        <w:rPr>
          <w:rFonts w:cs="Times New Roman"/>
        </w:rPr>
        <w:t xml:space="preserve"> integrated responses imply that environmental policies are well coordinated with social and economic policies. </w:t>
      </w:r>
      <w:r w:rsidRPr="00225326">
        <w:rPr>
          <w:rFonts w:cs="Times New Roman"/>
        </w:rPr>
        <w:t>Well-coordinated actions can be a driver for economic growth, job creation, and poverty eradication, allowing climate and social justice for all and promoting, protecting and fulfilling human rights for all including those most vulnerable to climate change. Inversely, failing to address social impacts from economic and industrial restructuring could contribute to job losses, social exclusion and disruption on a massive scale.</w:t>
      </w:r>
    </w:p>
    <w:p w14:paraId="32A29370" w14:textId="10116B8D" w:rsidR="00CA0929" w:rsidRPr="00CA0929" w:rsidRDefault="00CA0929" w:rsidP="002E1F18">
      <w:pPr>
        <w:tabs>
          <w:tab w:val="center" w:pos="4425"/>
        </w:tabs>
        <w:spacing w:after="120" w:line="240" w:lineRule="auto"/>
        <w:jc w:val="both"/>
        <w:rPr>
          <w:rFonts w:cs="Times New Roman"/>
        </w:rPr>
      </w:pPr>
      <w:r>
        <w:rPr>
          <w:rFonts w:cs="Times New Roman"/>
        </w:rPr>
        <w:t xml:space="preserve">More specifically, important aspects can include </w:t>
      </w:r>
      <w:proofErr w:type="spellStart"/>
      <w:r>
        <w:rPr>
          <w:rFonts w:cs="Times New Roman"/>
        </w:rPr>
        <w:t>i</w:t>
      </w:r>
      <w:proofErr w:type="spellEnd"/>
      <w:r>
        <w:rPr>
          <w:rFonts w:cs="Times New Roman"/>
        </w:rPr>
        <w:t>) m</w:t>
      </w:r>
      <w:r w:rsidRPr="00CA0929">
        <w:rPr>
          <w:rFonts w:cs="Times New Roman"/>
        </w:rPr>
        <w:t>echanisms of inclusive social dialogue to forge strong social consensus to enable transformative change without major social and economic disruption,</w:t>
      </w:r>
      <w:r>
        <w:rPr>
          <w:rFonts w:cs="Times New Roman"/>
        </w:rPr>
        <w:t xml:space="preserve"> ii) </w:t>
      </w:r>
      <w:r w:rsidRPr="00CA0929">
        <w:rPr>
          <w:rFonts w:cs="Times New Roman"/>
        </w:rPr>
        <w:t>Skills development</w:t>
      </w:r>
      <w:r>
        <w:rPr>
          <w:rFonts w:cs="Times New Roman"/>
        </w:rPr>
        <w:t>, training and capacity building</w:t>
      </w:r>
      <w:r w:rsidRPr="00CA0929">
        <w:rPr>
          <w:rFonts w:cs="Times New Roman"/>
        </w:rPr>
        <w:t xml:space="preserve"> plans to enable </w:t>
      </w:r>
      <w:r>
        <w:rPr>
          <w:rFonts w:cs="Times New Roman"/>
        </w:rPr>
        <w:t xml:space="preserve">smooth </w:t>
      </w:r>
      <w:r w:rsidRPr="00CA0929">
        <w:rPr>
          <w:rFonts w:cs="Times New Roman"/>
        </w:rPr>
        <w:t xml:space="preserve">transitions in labour markets, </w:t>
      </w:r>
      <w:r>
        <w:rPr>
          <w:rFonts w:cs="Times New Roman"/>
        </w:rPr>
        <w:t xml:space="preserve">transformation in </w:t>
      </w:r>
      <w:r w:rsidRPr="00CA0929">
        <w:rPr>
          <w:rFonts w:cs="Times New Roman"/>
        </w:rPr>
        <w:t>enterprise</w:t>
      </w:r>
      <w:r>
        <w:rPr>
          <w:rFonts w:cs="Times New Roman"/>
        </w:rPr>
        <w:t>s, and adjustments in consumption and production systems; and iii) i</w:t>
      </w:r>
      <w:r w:rsidRPr="00CA0929">
        <w:rPr>
          <w:rFonts w:cs="Times New Roman"/>
        </w:rPr>
        <w:t>nnovative social protection policies to strengthen climate adaptation strategies and protect groups</w:t>
      </w:r>
      <w:r w:rsidRPr="00CA0929">
        <w:rPr>
          <w:rFonts w:cs="Times New Roman"/>
        </w:rPr>
        <w:t xml:space="preserve"> </w:t>
      </w:r>
      <w:r>
        <w:rPr>
          <w:rFonts w:cs="Times New Roman"/>
        </w:rPr>
        <w:t xml:space="preserve">and communities particularly </w:t>
      </w:r>
      <w:r w:rsidRPr="00CA0929">
        <w:rPr>
          <w:rFonts w:cs="Times New Roman"/>
        </w:rPr>
        <w:t>vulnerable</w:t>
      </w:r>
      <w:r>
        <w:rPr>
          <w:rFonts w:cs="Times New Roman"/>
        </w:rPr>
        <w:t xml:space="preserve"> and likely to be negatively impacted by climate change and policies responses to it. </w:t>
      </w:r>
    </w:p>
    <w:p w14:paraId="42727276" w14:textId="77777777" w:rsidR="007A27DA" w:rsidRPr="00225326" w:rsidRDefault="007A27DA" w:rsidP="00CA5C1A">
      <w:pPr>
        <w:tabs>
          <w:tab w:val="center" w:pos="4425"/>
        </w:tabs>
        <w:spacing w:after="0" w:line="240" w:lineRule="auto"/>
        <w:jc w:val="both"/>
        <w:rPr>
          <w:rFonts w:cs="Times New Roman"/>
        </w:rPr>
      </w:pPr>
    </w:p>
    <w:p w14:paraId="375E3F9A" w14:textId="77777777" w:rsidR="001B4162" w:rsidRPr="00225326" w:rsidRDefault="001B4162" w:rsidP="001B4162">
      <w:pPr>
        <w:pBdr>
          <w:bottom w:val="single" w:sz="4" w:space="1" w:color="auto"/>
        </w:pBdr>
        <w:rPr>
          <w:b/>
        </w:rPr>
      </w:pPr>
      <w:r w:rsidRPr="00225326">
        <w:rPr>
          <w:b/>
        </w:rPr>
        <w:t xml:space="preserve">OBJECTIVE OF SESSION </w:t>
      </w:r>
    </w:p>
    <w:p w14:paraId="69199AC4" w14:textId="4F1AE9CA" w:rsidR="00C665F0" w:rsidRPr="00225326" w:rsidRDefault="0074737F" w:rsidP="002E1F18">
      <w:pPr>
        <w:spacing w:after="120" w:line="240" w:lineRule="auto"/>
        <w:jc w:val="both"/>
      </w:pPr>
      <w:r w:rsidRPr="00225326">
        <w:t xml:space="preserve">This </w:t>
      </w:r>
      <w:r w:rsidR="00C30C47" w:rsidRPr="00225326">
        <w:t>session</w:t>
      </w:r>
      <w:r w:rsidRPr="00225326">
        <w:t xml:space="preserve"> will </w:t>
      </w:r>
      <w:r w:rsidR="00C665F0" w:rsidRPr="00225326">
        <w:t xml:space="preserve">discuss ways to promote prosperity through national development plans, institutional structures and coordination mechanisms related to SDGs, NDCs and </w:t>
      </w:r>
      <w:r w:rsidR="00BA7AEE" w:rsidRPr="00225326">
        <w:t xml:space="preserve">the </w:t>
      </w:r>
      <w:r w:rsidR="00C665F0" w:rsidRPr="00225326">
        <w:t xml:space="preserve">Sendai framework.  </w:t>
      </w:r>
    </w:p>
    <w:p w14:paraId="349AF665" w14:textId="0E38CE17" w:rsidR="00CA5C1A" w:rsidRPr="00225326" w:rsidRDefault="0074737F" w:rsidP="002E1F18">
      <w:pPr>
        <w:spacing w:line="240" w:lineRule="auto"/>
        <w:jc w:val="both"/>
      </w:pPr>
      <w:r w:rsidRPr="00225326">
        <w:t xml:space="preserve">Participants will </w:t>
      </w:r>
      <w:r w:rsidR="00CA5C1A" w:rsidRPr="00225326">
        <w:rPr>
          <w:rFonts w:cs="Times New Roman"/>
        </w:rPr>
        <w:t xml:space="preserve">examine the nature and scale of expected and ongoing structural transformations impacting </w:t>
      </w:r>
      <w:r w:rsidR="00383DC7" w:rsidRPr="00225326">
        <w:rPr>
          <w:rFonts w:cs="Times New Roman"/>
        </w:rPr>
        <w:t xml:space="preserve">economies, </w:t>
      </w:r>
      <w:r w:rsidR="00CA5C1A" w:rsidRPr="00225326">
        <w:rPr>
          <w:rFonts w:cs="Times New Roman"/>
        </w:rPr>
        <w:t>enterprises, workers and communities, with significant implications for inclusive growth</w:t>
      </w:r>
      <w:r w:rsidR="00B911B1" w:rsidRPr="00225326">
        <w:rPr>
          <w:rFonts w:cs="Times New Roman"/>
        </w:rPr>
        <w:t xml:space="preserve">, </w:t>
      </w:r>
      <w:r w:rsidR="00BA7AEE" w:rsidRPr="00225326">
        <w:rPr>
          <w:rFonts w:cs="Times New Roman"/>
        </w:rPr>
        <w:t>income distribution, poverty and social inclusion</w:t>
      </w:r>
      <w:r w:rsidR="00CA5C1A" w:rsidRPr="00225326">
        <w:rPr>
          <w:rFonts w:cs="Times New Roman"/>
        </w:rPr>
        <w:t xml:space="preserve">.  </w:t>
      </w:r>
      <w:r w:rsidR="003F199F" w:rsidRPr="00225326">
        <w:rPr>
          <w:rFonts w:cs="Times New Roman"/>
        </w:rPr>
        <w:t xml:space="preserve">They will discuss practical means to achieve a just transition </w:t>
      </w:r>
      <w:r w:rsidRPr="00225326">
        <w:rPr>
          <w:rFonts w:cs="Times New Roman"/>
        </w:rPr>
        <w:t>for all and</w:t>
      </w:r>
      <w:r w:rsidR="00AE32FF" w:rsidRPr="00225326">
        <w:rPr>
          <w:rFonts w:cs="Times New Roman"/>
        </w:rPr>
        <w:t xml:space="preserve"> consider the global </w:t>
      </w:r>
      <w:r w:rsidRPr="00225326">
        <w:rPr>
          <w:rFonts w:cs="Times New Roman"/>
        </w:rPr>
        <w:t xml:space="preserve">and national </w:t>
      </w:r>
      <w:r w:rsidR="00AE32FF" w:rsidRPr="00225326">
        <w:rPr>
          <w:rFonts w:cs="Times New Roman"/>
        </w:rPr>
        <w:t xml:space="preserve">policy frameworks </w:t>
      </w:r>
      <w:r w:rsidRPr="00225326">
        <w:rPr>
          <w:rFonts w:cs="Times New Roman"/>
        </w:rPr>
        <w:t xml:space="preserve">that countries can </w:t>
      </w:r>
      <w:r w:rsidR="000B70FD" w:rsidRPr="00225326">
        <w:rPr>
          <w:rFonts w:cs="Times New Roman"/>
        </w:rPr>
        <w:t>employ</w:t>
      </w:r>
      <w:r w:rsidRPr="00225326">
        <w:rPr>
          <w:rFonts w:cs="Times New Roman"/>
        </w:rPr>
        <w:t xml:space="preserve"> to pursue climate-resilient economies</w:t>
      </w:r>
      <w:r w:rsidR="00AE32FF" w:rsidRPr="00225326">
        <w:rPr>
          <w:rFonts w:cs="Times New Roman"/>
        </w:rPr>
        <w:t xml:space="preserve">.  </w:t>
      </w:r>
      <w:r w:rsidR="000B70FD" w:rsidRPr="00225326">
        <w:t>The event will promote the idea of a common and “positive narrative” on just transition as corollary of ambition climate action, NOT a justification for low ambition.</w:t>
      </w:r>
    </w:p>
    <w:p w14:paraId="597008A3" w14:textId="77777777" w:rsidR="001B4162" w:rsidRPr="00225326" w:rsidRDefault="001B4162" w:rsidP="00225326">
      <w:pPr>
        <w:pBdr>
          <w:bottom w:val="single" w:sz="4" w:space="1" w:color="auto"/>
        </w:pBdr>
        <w:spacing w:after="120"/>
        <w:rPr>
          <w:b/>
        </w:rPr>
      </w:pPr>
      <w:r w:rsidRPr="00225326">
        <w:rPr>
          <w:b/>
        </w:rPr>
        <w:t>KEY MESSAGES</w:t>
      </w:r>
    </w:p>
    <w:p w14:paraId="6C55A65C" w14:textId="77777777" w:rsidR="00CA0929" w:rsidRPr="00225326" w:rsidRDefault="00516FFD" w:rsidP="002E1F18">
      <w:pPr>
        <w:pStyle w:val="ListParagraph"/>
        <w:numPr>
          <w:ilvl w:val="0"/>
          <w:numId w:val="6"/>
        </w:numPr>
        <w:spacing w:after="120" w:line="240" w:lineRule="auto"/>
        <w:ind w:left="357" w:hanging="357"/>
        <w:contextualSpacing w:val="0"/>
        <w:jc w:val="both"/>
        <w:rPr>
          <w:rFonts w:cs="Times New Roman"/>
        </w:rPr>
      </w:pPr>
      <w:r w:rsidRPr="00225326">
        <w:rPr>
          <w:rFonts w:cs="Times New Roman"/>
        </w:rPr>
        <w:t xml:space="preserve">Climate change and the policy responses to it </w:t>
      </w:r>
      <w:r w:rsidR="00BA7AEE" w:rsidRPr="00225326">
        <w:rPr>
          <w:rFonts w:cs="Times New Roman"/>
        </w:rPr>
        <w:t>bring</w:t>
      </w:r>
      <w:r w:rsidRPr="00225326">
        <w:rPr>
          <w:rFonts w:cs="Times New Roman"/>
        </w:rPr>
        <w:t xml:space="preserve"> new challenges </w:t>
      </w:r>
      <w:r w:rsidR="00BA7AEE" w:rsidRPr="00225326">
        <w:rPr>
          <w:rFonts w:cs="Times New Roman"/>
        </w:rPr>
        <w:t>and</w:t>
      </w:r>
      <w:r w:rsidR="003316D8" w:rsidRPr="00225326">
        <w:rPr>
          <w:rFonts w:cs="Times New Roman"/>
        </w:rPr>
        <w:t xml:space="preserve"> opportunities </w:t>
      </w:r>
      <w:r w:rsidRPr="00225326">
        <w:rPr>
          <w:rFonts w:cs="Times New Roman"/>
        </w:rPr>
        <w:t xml:space="preserve">for </w:t>
      </w:r>
      <w:r w:rsidR="00BA7AEE" w:rsidRPr="00225326">
        <w:rPr>
          <w:rFonts w:cs="Times New Roman"/>
        </w:rPr>
        <w:t xml:space="preserve">prosperity, </w:t>
      </w:r>
      <w:r w:rsidRPr="00225326">
        <w:rPr>
          <w:rFonts w:cs="Times New Roman"/>
        </w:rPr>
        <w:t>social justice, human rights, jobs and livelihoods that must be addressed at all levels</w:t>
      </w:r>
      <w:r w:rsidR="007828A6" w:rsidRPr="00225326">
        <w:rPr>
          <w:rFonts w:cs="Times New Roman"/>
        </w:rPr>
        <w:t xml:space="preserve">. </w:t>
      </w:r>
      <w:r w:rsidR="00CA0929">
        <w:rPr>
          <w:rFonts w:cs="Times New Roman"/>
        </w:rPr>
        <w:t>Prosperity and a</w:t>
      </w:r>
      <w:r w:rsidR="00CA0929" w:rsidRPr="00225326">
        <w:rPr>
          <w:rFonts w:cs="Times New Roman"/>
        </w:rPr>
        <w:t xml:space="preserve"> just transitions will not happen by default: they require careful planning, policies, funding, and social dialogue among all key actors to fully take advantage of the opportunities and minimise risks.  </w:t>
      </w:r>
    </w:p>
    <w:p w14:paraId="240627BC" w14:textId="09C999D7" w:rsidR="007828A6" w:rsidRPr="00225326" w:rsidRDefault="007828A6" w:rsidP="002E1F18">
      <w:pPr>
        <w:pStyle w:val="ListParagraph"/>
        <w:numPr>
          <w:ilvl w:val="0"/>
          <w:numId w:val="6"/>
        </w:numPr>
        <w:spacing w:after="120" w:line="240" w:lineRule="auto"/>
        <w:ind w:left="357" w:hanging="357"/>
        <w:contextualSpacing w:val="0"/>
        <w:jc w:val="both"/>
        <w:rPr>
          <w:rFonts w:cs="Times New Roman"/>
        </w:rPr>
      </w:pPr>
      <w:r w:rsidRPr="00225326">
        <w:rPr>
          <w:rFonts w:cs="Times New Roman"/>
        </w:rPr>
        <w:t xml:space="preserve">The absence of dedicated social policies and measures </w:t>
      </w:r>
      <w:r w:rsidR="003316D8" w:rsidRPr="00225326">
        <w:rPr>
          <w:rFonts w:cs="Times New Roman"/>
        </w:rPr>
        <w:t xml:space="preserve">for </w:t>
      </w:r>
      <w:r w:rsidR="00CA0929">
        <w:rPr>
          <w:rFonts w:cs="Times New Roman"/>
        </w:rPr>
        <w:t xml:space="preserve">vulnerable groups, </w:t>
      </w:r>
      <w:r w:rsidRPr="00225326">
        <w:rPr>
          <w:rFonts w:cs="Times New Roman"/>
        </w:rPr>
        <w:t xml:space="preserve">workers, enterprises and communities </w:t>
      </w:r>
      <w:r w:rsidR="00CA0929">
        <w:rPr>
          <w:rFonts w:cs="Times New Roman"/>
        </w:rPr>
        <w:t>can cause economic and social disruption and trigger social/political resistance to change.</w:t>
      </w:r>
      <w:r w:rsidRPr="00225326">
        <w:rPr>
          <w:rFonts w:cs="Times New Roman"/>
        </w:rPr>
        <w:t xml:space="preserve"> </w:t>
      </w:r>
    </w:p>
    <w:p w14:paraId="625BEE2D" w14:textId="5E756166" w:rsidR="00516FFD" w:rsidRPr="00225326" w:rsidRDefault="00516FFD" w:rsidP="002E1F18">
      <w:pPr>
        <w:pStyle w:val="ListParagraph"/>
        <w:numPr>
          <w:ilvl w:val="0"/>
          <w:numId w:val="6"/>
        </w:numPr>
        <w:spacing w:after="120" w:line="240" w:lineRule="auto"/>
        <w:ind w:left="357" w:hanging="357"/>
        <w:contextualSpacing w:val="0"/>
        <w:jc w:val="both"/>
        <w:rPr>
          <w:rFonts w:cs="Times New Roman"/>
        </w:rPr>
      </w:pPr>
      <w:r w:rsidRPr="00225326">
        <w:rPr>
          <w:rFonts w:cs="Times New Roman"/>
        </w:rPr>
        <w:t xml:space="preserve">The </w:t>
      </w:r>
      <w:r w:rsidR="0074737F" w:rsidRPr="00225326">
        <w:rPr>
          <w:rFonts w:cs="Times New Roman"/>
        </w:rPr>
        <w:t>review of SGD8 and 13 at the 2019 High-level Political Forum</w:t>
      </w:r>
      <w:r w:rsidRPr="00225326">
        <w:rPr>
          <w:rFonts w:cs="Times New Roman"/>
        </w:rPr>
        <w:t xml:space="preserve"> must be taken as a unique opportunity to integrate policies and measures on just transition in nationally-determined contributions</w:t>
      </w:r>
      <w:r w:rsidR="007828A6" w:rsidRPr="00225326">
        <w:rPr>
          <w:rFonts w:cs="Times New Roman"/>
        </w:rPr>
        <w:t xml:space="preserve">, </w:t>
      </w:r>
      <w:r w:rsidR="0074737F" w:rsidRPr="00225326">
        <w:rPr>
          <w:rFonts w:cs="Times New Roman"/>
        </w:rPr>
        <w:t>and reporting on progress on SDG 8 and 13</w:t>
      </w:r>
      <w:r w:rsidR="007828A6" w:rsidRPr="00225326">
        <w:rPr>
          <w:rFonts w:cs="Times New Roman"/>
        </w:rPr>
        <w:t>.</w:t>
      </w:r>
    </w:p>
    <w:p w14:paraId="4C2B90DC" w14:textId="2F44E86B" w:rsidR="00A3193B" w:rsidRPr="00225326" w:rsidRDefault="00A3193B" w:rsidP="00225326">
      <w:pPr>
        <w:pBdr>
          <w:bottom w:val="single" w:sz="4" w:space="1" w:color="auto"/>
        </w:pBdr>
        <w:spacing w:after="120"/>
        <w:rPr>
          <w:b/>
        </w:rPr>
      </w:pPr>
      <w:r w:rsidRPr="00225326">
        <w:rPr>
          <w:b/>
        </w:rPr>
        <w:lastRenderedPageBreak/>
        <w:t>QUESTIONS FOR DISCUSSION</w:t>
      </w:r>
    </w:p>
    <w:p w14:paraId="037F7802" w14:textId="14D2604A" w:rsidR="00A3193B" w:rsidRPr="00225326" w:rsidRDefault="00A3193B" w:rsidP="00225326">
      <w:pPr>
        <w:pStyle w:val="ListParagraph"/>
        <w:numPr>
          <w:ilvl w:val="0"/>
          <w:numId w:val="6"/>
        </w:numPr>
        <w:spacing w:after="120" w:line="240" w:lineRule="auto"/>
        <w:ind w:left="357" w:hanging="357"/>
        <w:contextualSpacing w:val="0"/>
        <w:jc w:val="both"/>
        <w:rPr>
          <w:rFonts w:cs="Times New Roman"/>
        </w:rPr>
      </w:pPr>
      <w:r w:rsidRPr="00225326">
        <w:rPr>
          <w:rFonts w:cs="Times New Roman"/>
        </w:rPr>
        <w:t xml:space="preserve">What policies and initiatives are needed at the </w:t>
      </w:r>
      <w:r w:rsidR="0074737F" w:rsidRPr="00225326">
        <w:rPr>
          <w:rFonts w:cs="Times New Roman"/>
        </w:rPr>
        <w:t xml:space="preserve">global and national </w:t>
      </w:r>
      <w:r w:rsidRPr="00225326">
        <w:rPr>
          <w:rFonts w:cs="Times New Roman"/>
        </w:rPr>
        <w:t>level</w:t>
      </w:r>
      <w:r w:rsidR="0074737F" w:rsidRPr="00225326">
        <w:rPr>
          <w:rFonts w:cs="Times New Roman"/>
        </w:rPr>
        <w:t>s</w:t>
      </w:r>
      <w:r w:rsidRPr="00225326">
        <w:rPr>
          <w:rFonts w:cs="Times New Roman"/>
        </w:rPr>
        <w:t xml:space="preserve"> to ensure a just transition for </w:t>
      </w:r>
      <w:r w:rsidR="00BA7AEE" w:rsidRPr="00225326">
        <w:rPr>
          <w:rFonts w:cs="Times New Roman"/>
        </w:rPr>
        <w:t>all</w:t>
      </w:r>
      <w:r w:rsidRPr="00225326">
        <w:rPr>
          <w:rFonts w:cs="Times New Roman"/>
        </w:rPr>
        <w:t>?</w:t>
      </w:r>
    </w:p>
    <w:p w14:paraId="29CD7A8E" w14:textId="13ADFAB3" w:rsidR="00A3193B" w:rsidRPr="00225326" w:rsidRDefault="00A3193B" w:rsidP="00225326">
      <w:pPr>
        <w:pStyle w:val="ListParagraph"/>
        <w:numPr>
          <w:ilvl w:val="0"/>
          <w:numId w:val="6"/>
        </w:numPr>
        <w:spacing w:after="120" w:line="240" w:lineRule="auto"/>
        <w:ind w:left="357" w:hanging="357"/>
        <w:contextualSpacing w:val="0"/>
        <w:jc w:val="both"/>
        <w:rPr>
          <w:rFonts w:cs="Times New Roman"/>
        </w:rPr>
      </w:pPr>
      <w:r w:rsidRPr="00225326">
        <w:rPr>
          <w:rFonts w:cs="Times New Roman"/>
        </w:rPr>
        <w:t>Which participatory processes are required in the implementation of climate commitments to secure rights for all actors to play their part?</w:t>
      </w:r>
    </w:p>
    <w:p w14:paraId="03ABF27E" w14:textId="32C9D226" w:rsidR="00A3193B" w:rsidRPr="00225326" w:rsidRDefault="00A3193B" w:rsidP="00225326">
      <w:pPr>
        <w:pStyle w:val="ListParagraph"/>
        <w:numPr>
          <w:ilvl w:val="0"/>
          <w:numId w:val="6"/>
        </w:numPr>
        <w:spacing w:after="120" w:line="240" w:lineRule="auto"/>
        <w:ind w:left="357" w:hanging="357"/>
        <w:contextualSpacing w:val="0"/>
        <w:jc w:val="both"/>
        <w:rPr>
          <w:rFonts w:cs="Times New Roman"/>
        </w:rPr>
      </w:pPr>
      <w:r w:rsidRPr="00225326">
        <w:rPr>
          <w:rFonts w:cs="Times New Roman"/>
        </w:rPr>
        <w:t>What successful experiences</w:t>
      </w:r>
      <w:r w:rsidR="00CA0929">
        <w:rPr>
          <w:rFonts w:cs="Times New Roman"/>
        </w:rPr>
        <w:t>, policy and planning processes</w:t>
      </w:r>
      <w:r w:rsidRPr="00225326">
        <w:rPr>
          <w:rFonts w:cs="Times New Roman"/>
        </w:rPr>
        <w:t xml:space="preserve"> exist to draw upon for advancing ambitious climate action </w:t>
      </w:r>
      <w:r w:rsidR="00CA0929">
        <w:rPr>
          <w:rFonts w:cs="Times New Roman"/>
        </w:rPr>
        <w:t xml:space="preserve">that leads to prosperity for all, </w:t>
      </w:r>
      <w:r w:rsidR="003316D8" w:rsidRPr="00225326">
        <w:rPr>
          <w:rFonts w:cs="Times New Roman"/>
        </w:rPr>
        <w:t xml:space="preserve">leaving </w:t>
      </w:r>
      <w:r w:rsidRPr="00225326">
        <w:rPr>
          <w:rFonts w:cs="Times New Roman"/>
        </w:rPr>
        <w:t>no one behind?</w:t>
      </w:r>
    </w:p>
    <w:p w14:paraId="019520C0" w14:textId="77777777" w:rsidR="00A3193B" w:rsidRPr="00225326" w:rsidRDefault="00A3193B" w:rsidP="001B4162">
      <w:pPr>
        <w:spacing w:after="0"/>
        <w:jc w:val="both"/>
        <w:rPr>
          <w:rFonts w:cs="Times New Roman"/>
        </w:rPr>
      </w:pPr>
    </w:p>
    <w:p w14:paraId="25B855AF" w14:textId="77777777" w:rsidR="001B4162" w:rsidRPr="00225326" w:rsidRDefault="001B4162" w:rsidP="00225326">
      <w:pPr>
        <w:pBdr>
          <w:bottom w:val="single" w:sz="4" w:space="1" w:color="auto"/>
        </w:pBdr>
        <w:spacing w:after="120"/>
        <w:rPr>
          <w:b/>
        </w:rPr>
      </w:pPr>
      <w:r w:rsidRPr="00225326">
        <w:rPr>
          <w:b/>
        </w:rPr>
        <w:t>FORMAT OF SESSION</w:t>
      </w:r>
    </w:p>
    <w:p w14:paraId="6157DDD0" w14:textId="0CC1BB31" w:rsidR="001B4162" w:rsidRPr="00225326" w:rsidRDefault="001B4162" w:rsidP="00E20A9E">
      <w:pPr>
        <w:spacing w:after="120" w:line="240" w:lineRule="auto"/>
        <w:jc w:val="both"/>
        <w:rPr>
          <w:color w:val="5B9BD5" w:themeColor="accent1"/>
        </w:rPr>
      </w:pPr>
      <w:r w:rsidRPr="00225326">
        <w:rPr>
          <w:b/>
          <w:bCs/>
        </w:rPr>
        <w:t xml:space="preserve">Opening: </w:t>
      </w:r>
      <w:r w:rsidRPr="00225326">
        <w:t xml:space="preserve">opening remarks and a brief outline of the overall </w:t>
      </w:r>
      <w:r w:rsidR="00B911B1" w:rsidRPr="00225326">
        <w:t>context</w:t>
      </w:r>
      <w:r w:rsidRPr="00225326">
        <w:t xml:space="preserve"> and objectives of the session. </w:t>
      </w:r>
    </w:p>
    <w:p w14:paraId="336AA6AB" w14:textId="3D84B084" w:rsidR="001B4162" w:rsidRPr="00225326" w:rsidRDefault="001B4162" w:rsidP="00E20A9E">
      <w:pPr>
        <w:spacing w:after="120" w:line="240" w:lineRule="auto"/>
        <w:jc w:val="both"/>
        <w:rPr>
          <w:color w:val="5B9BD5" w:themeColor="accent1"/>
        </w:rPr>
      </w:pPr>
      <w:r w:rsidRPr="00225326">
        <w:rPr>
          <w:b/>
          <w:bCs/>
        </w:rPr>
        <w:t xml:space="preserve">Panel discussion:  </w:t>
      </w:r>
      <w:r w:rsidR="00B911B1" w:rsidRPr="00225326">
        <w:t xml:space="preserve">an interactive discussion composed of </w:t>
      </w:r>
      <w:r w:rsidRPr="00225326">
        <w:t xml:space="preserve">five panellists comprising leading experts (senior officials, practitioners, researchers). </w:t>
      </w:r>
    </w:p>
    <w:p w14:paraId="561291CA" w14:textId="216FC375" w:rsidR="00B911B1" w:rsidRDefault="001B4162" w:rsidP="00E20A9E">
      <w:pPr>
        <w:spacing w:after="120" w:line="240" w:lineRule="auto"/>
        <w:jc w:val="both"/>
      </w:pPr>
      <w:r w:rsidRPr="00225326">
        <w:rPr>
          <w:b/>
          <w:bCs/>
        </w:rPr>
        <w:t xml:space="preserve">Open Discussion: </w:t>
      </w:r>
      <w:r w:rsidRPr="00225326">
        <w:t>moderat</w:t>
      </w:r>
      <w:r w:rsidR="00B911B1" w:rsidRPr="00225326">
        <w:t>ed discussions among panellists and participants</w:t>
      </w:r>
      <w:r w:rsidRPr="00225326">
        <w:t xml:space="preserve">. </w:t>
      </w:r>
    </w:p>
    <w:p w14:paraId="5013FB52" w14:textId="77777777" w:rsidR="002E1F18" w:rsidRPr="00225326" w:rsidRDefault="002E1F18" w:rsidP="00E20A9E">
      <w:pPr>
        <w:spacing w:after="120" w:line="240" w:lineRule="auto"/>
        <w:jc w:val="both"/>
      </w:pPr>
    </w:p>
    <w:tbl>
      <w:tblPr>
        <w:tblStyle w:val="TableGrid"/>
        <w:tblW w:w="9918" w:type="dxa"/>
        <w:jc w:val="center"/>
        <w:tblLook w:val="04A0" w:firstRow="1" w:lastRow="0" w:firstColumn="1" w:lastColumn="0" w:noHBand="0" w:noVBand="1"/>
      </w:tblPr>
      <w:tblGrid>
        <w:gridCol w:w="3964"/>
        <w:gridCol w:w="5954"/>
      </w:tblGrid>
      <w:tr w:rsidR="00383DC7" w:rsidRPr="00D73681" w14:paraId="1B6110C0" w14:textId="77777777" w:rsidTr="005F762F">
        <w:trPr>
          <w:trHeight w:val="278"/>
          <w:jc w:val="center"/>
        </w:trPr>
        <w:tc>
          <w:tcPr>
            <w:tcW w:w="3964" w:type="dxa"/>
            <w:shd w:val="clear" w:color="auto" w:fill="D9D9D9" w:themeFill="background1" w:themeFillShade="D9"/>
            <w:vAlign w:val="center"/>
          </w:tcPr>
          <w:p w14:paraId="40AF80DB" w14:textId="77777777" w:rsidR="00383DC7" w:rsidRPr="00D73681" w:rsidRDefault="00383DC7" w:rsidP="00225326">
            <w:pPr>
              <w:spacing w:line="240" w:lineRule="auto"/>
              <w:rPr>
                <w:rFonts w:cstheme="minorHAnsi"/>
                <w:b/>
                <w:sz w:val="24"/>
                <w:szCs w:val="24"/>
              </w:rPr>
            </w:pPr>
            <w:r w:rsidRPr="00D73681">
              <w:rPr>
                <w:rFonts w:cstheme="minorHAnsi"/>
                <w:b/>
                <w:sz w:val="24"/>
                <w:szCs w:val="24"/>
              </w:rPr>
              <w:t xml:space="preserve">Promoting prosperity </w:t>
            </w:r>
          </w:p>
        </w:tc>
        <w:tc>
          <w:tcPr>
            <w:tcW w:w="5954" w:type="dxa"/>
            <w:shd w:val="clear" w:color="auto" w:fill="D9D9D9" w:themeFill="background1" w:themeFillShade="D9"/>
            <w:vAlign w:val="center"/>
          </w:tcPr>
          <w:p w14:paraId="27EF1E10" w14:textId="77777777" w:rsidR="00383DC7" w:rsidRPr="00D73681" w:rsidRDefault="00383DC7" w:rsidP="00225326">
            <w:pPr>
              <w:spacing w:line="240" w:lineRule="auto"/>
              <w:rPr>
                <w:rFonts w:cstheme="minorHAnsi"/>
                <w:b/>
                <w:sz w:val="24"/>
                <w:szCs w:val="24"/>
              </w:rPr>
            </w:pPr>
            <w:r w:rsidRPr="00D73681">
              <w:rPr>
                <w:rFonts w:cstheme="minorHAnsi"/>
                <w:b/>
                <w:sz w:val="24"/>
                <w:szCs w:val="24"/>
              </w:rPr>
              <w:t>Partnerships and stakeholder action</w:t>
            </w:r>
          </w:p>
        </w:tc>
      </w:tr>
      <w:tr w:rsidR="00383DC7" w:rsidRPr="00167385" w14:paraId="576CF97C" w14:textId="77777777" w:rsidTr="005F762F">
        <w:trPr>
          <w:trHeight w:val="967"/>
          <w:jc w:val="center"/>
        </w:trPr>
        <w:tc>
          <w:tcPr>
            <w:tcW w:w="3964" w:type="dxa"/>
          </w:tcPr>
          <w:p w14:paraId="4F9FE3E3" w14:textId="1A3CB1C3" w:rsidR="00383DC7" w:rsidRPr="00D73681" w:rsidRDefault="00383DC7" w:rsidP="00225326">
            <w:pPr>
              <w:spacing w:after="0" w:line="240" w:lineRule="auto"/>
              <w:rPr>
                <w:rFonts w:cstheme="minorHAnsi"/>
                <w:sz w:val="21"/>
                <w:szCs w:val="21"/>
              </w:rPr>
            </w:pPr>
            <w:r w:rsidRPr="00D73681">
              <w:rPr>
                <w:rFonts w:cstheme="minorHAnsi"/>
                <w:b/>
                <w:sz w:val="21"/>
                <w:szCs w:val="21"/>
              </w:rPr>
              <w:t>Moderator:</w:t>
            </w:r>
            <w:r w:rsidRPr="00D73681">
              <w:rPr>
                <w:rFonts w:cstheme="minorHAnsi"/>
                <w:sz w:val="21"/>
                <w:szCs w:val="21"/>
              </w:rPr>
              <w:t xml:space="preserve"> </w:t>
            </w:r>
            <w:r w:rsidRPr="00D73681">
              <w:rPr>
                <w:rFonts w:cstheme="minorHAnsi"/>
                <w:sz w:val="20"/>
                <w:szCs w:val="20"/>
              </w:rPr>
              <w:t xml:space="preserve">Mr. Moustapha Kamal Gueye, Coordinator, Green Jobs Programme, Enterprises Department, International Labour Organization </w:t>
            </w:r>
            <w:r w:rsidRPr="00D73681">
              <w:rPr>
                <w:rFonts w:cstheme="minorHAnsi"/>
                <w:i/>
                <w:sz w:val="21"/>
                <w:szCs w:val="21"/>
              </w:rPr>
              <w:t>(confirmed)</w:t>
            </w:r>
          </w:p>
        </w:tc>
        <w:tc>
          <w:tcPr>
            <w:tcW w:w="5954" w:type="dxa"/>
          </w:tcPr>
          <w:p w14:paraId="354FF4BE" w14:textId="77777777" w:rsidR="00383DC7" w:rsidRPr="00225326" w:rsidRDefault="00383DC7" w:rsidP="00225326">
            <w:pPr>
              <w:spacing w:line="240" w:lineRule="auto"/>
              <w:rPr>
                <w:rFonts w:cstheme="minorHAnsi"/>
                <w:b/>
                <w:sz w:val="21"/>
                <w:szCs w:val="21"/>
              </w:rPr>
            </w:pPr>
          </w:p>
        </w:tc>
      </w:tr>
      <w:tr w:rsidR="00383DC7" w:rsidRPr="00383DC7" w14:paraId="29FC6CA3" w14:textId="77777777" w:rsidTr="005F762F">
        <w:trPr>
          <w:trHeight w:val="742"/>
          <w:jc w:val="center"/>
        </w:trPr>
        <w:tc>
          <w:tcPr>
            <w:tcW w:w="3964" w:type="dxa"/>
          </w:tcPr>
          <w:p w14:paraId="586E5743" w14:textId="5D0FE838" w:rsidR="00383DC7" w:rsidRPr="00D73681" w:rsidRDefault="00383DC7" w:rsidP="00225326">
            <w:pPr>
              <w:spacing w:line="240" w:lineRule="auto"/>
              <w:rPr>
                <w:rFonts w:cstheme="minorHAnsi"/>
                <w:bCs/>
                <w:i/>
                <w:iCs/>
                <w:sz w:val="20"/>
                <w:szCs w:val="20"/>
              </w:rPr>
            </w:pPr>
            <w:r w:rsidRPr="00D73681">
              <w:rPr>
                <w:rFonts w:cstheme="minorHAnsi"/>
                <w:sz w:val="21"/>
                <w:szCs w:val="21"/>
              </w:rPr>
              <w:t>-</w:t>
            </w:r>
            <w:r w:rsidRPr="00D73681">
              <w:rPr>
                <w:rFonts w:eastAsia="SimSun" w:cstheme="minorHAnsi"/>
                <w:iCs/>
                <w:sz w:val="20"/>
                <w:szCs w:val="20"/>
              </w:rPr>
              <w:t xml:space="preserve">Mr. Karma </w:t>
            </w:r>
            <w:proofErr w:type="spellStart"/>
            <w:r w:rsidRPr="00D73681">
              <w:rPr>
                <w:rFonts w:eastAsia="SimSun" w:cstheme="minorHAnsi"/>
                <w:iCs/>
                <w:sz w:val="20"/>
                <w:szCs w:val="20"/>
              </w:rPr>
              <w:t>Sonam</w:t>
            </w:r>
            <w:proofErr w:type="spellEnd"/>
            <w:r w:rsidRPr="00D73681">
              <w:rPr>
                <w:rFonts w:eastAsia="SimSun" w:cstheme="minorHAnsi"/>
                <w:iCs/>
                <w:sz w:val="20"/>
                <w:szCs w:val="20"/>
              </w:rPr>
              <w:t xml:space="preserve"> </w:t>
            </w:r>
            <w:proofErr w:type="spellStart"/>
            <w:r w:rsidRPr="00D73681">
              <w:rPr>
                <w:rFonts w:eastAsia="SimSun" w:cstheme="minorHAnsi"/>
                <w:iCs/>
                <w:sz w:val="20"/>
                <w:szCs w:val="20"/>
              </w:rPr>
              <w:t>Tshosar</w:t>
            </w:r>
            <w:proofErr w:type="spellEnd"/>
            <w:r w:rsidRPr="00D73681">
              <w:rPr>
                <w:rFonts w:eastAsia="SimSun" w:cstheme="minorHAnsi"/>
                <w:iCs/>
                <w:sz w:val="20"/>
                <w:szCs w:val="20"/>
              </w:rPr>
              <w:t xml:space="preserve">, Deputy Permanent Representative, Permanent Mission of Bhutan to the UN </w:t>
            </w:r>
            <w:r w:rsidRPr="00D73681">
              <w:rPr>
                <w:rFonts w:eastAsia="SimSun" w:cstheme="minorHAnsi"/>
                <w:i/>
                <w:iCs/>
                <w:sz w:val="20"/>
                <w:szCs w:val="20"/>
              </w:rPr>
              <w:t>(confirmed)</w:t>
            </w:r>
          </w:p>
        </w:tc>
        <w:tc>
          <w:tcPr>
            <w:tcW w:w="5954" w:type="dxa"/>
          </w:tcPr>
          <w:p w14:paraId="1C16991B" w14:textId="760DD6BE" w:rsidR="00383DC7" w:rsidRPr="00383DC7" w:rsidRDefault="00972480" w:rsidP="00225326">
            <w:pPr>
              <w:spacing w:line="240" w:lineRule="auto"/>
              <w:rPr>
                <w:rFonts w:eastAsia="SimSun" w:cstheme="minorHAnsi"/>
                <w:iCs/>
                <w:sz w:val="20"/>
                <w:szCs w:val="20"/>
              </w:rPr>
            </w:pPr>
            <w:r>
              <w:rPr>
                <w:rFonts w:eastAsia="SimSun" w:cstheme="minorHAnsi"/>
                <w:iCs/>
                <w:sz w:val="20"/>
                <w:szCs w:val="20"/>
              </w:rPr>
              <w:t>Governments can shape policies and values for prosperity and wellbeing of their people. What makes Bhutan unique in its approach to well-being and prosperity?</w:t>
            </w:r>
          </w:p>
        </w:tc>
      </w:tr>
      <w:tr w:rsidR="00383DC7" w:rsidRPr="00383DC7" w14:paraId="2B00CE40" w14:textId="77777777" w:rsidTr="005F762F">
        <w:trPr>
          <w:trHeight w:val="612"/>
          <w:jc w:val="center"/>
        </w:trPr>
        <w:tc>
          <w:tcPr>
            <w:tcW w:w="3964" w:type="dxa"/>
          </w:tcPr>
          <w:p w14:paraId="00E1DB9D" w14:textId="7AC286AD" w:rsidR="00383DC7" w:rsidRPr="00D73681" w:rsidRDefault="00383DC7" w:rsidP="00225326">
            <w:pPr>
              <w:spacing w:line="240" w:lineRule="auto"/>
              <w:rPr>
                <w:rFonts w:cstheme="minorHAnsi"/>
                <w:bCs/>
                <w:i/>
                <w:iCs/>
                <w:sz w:val="20"/>
                <w:szCs w:val="20"/>
              </w:rPr>
            </w:pPr>
            <w:r w:rsidRPr="00D73681">
              <w:rPr>
                <w:rFonts w:eastAsia="SimSun" w:cstheme="minorHAnsi"/>
                <w:iCs/>
                <w:sz w:val="20"/>
                <w:szCs w:val="20"/>
              </w:rPr>
              <w:t xml:space="preserve">-Mr. Frank </w:t>
            </w:r>
            <w:proofErr w:type="spellStart"/>
            <w:r w:rsidRPr="00D73681">
              <w:rPr>
                <w:rFonts w:eastAsia="SimSun" w:cstheme="minorHAnsi"/>
                <w:iCs/>
                <w:sz w:val="20"/>
                <w:szCs w:val="20"/>
              </w:rPr>
              <w:t>Rijsberman</w:t>
            </w:r>
            <w:proofErr w:type="spellEnd"/>
            <w:r w:rsidRPr="00D73681">
              <w:rPr>
                <w:rFonts w:eastAsia="SimSun" w:cstheme="minorHAnsi"/>
                <w:iCs/>
                <w:sz w:val="20"/>
                <w:szCs w:val="20"/>
              </w:rPr>
              <w:t xml:space="preserve">, Director-General, Global Green Growth Institute </w:t>
            </w:r>
            <w:r w:rsidRPr="00D73681">
              <w:rPr>
                <w:rFonts w:eastAsia="SimSun" w:cstheme="minorHAnsi"/>
                <w:i/>
                <w:iCs/>
                <w:sz w:val="20"/>
                <w:szCs w:val="20"/>
              </w:rPr>
              <w:t>(</w:t>
            </w:r>
            <w:r>
              <w:rPr>
                <w:rFonts w:eastAsia="SimSun" w:cstheme="minorHAnsi"/>
                <w:i/>
                <w:iCs/>
                <w:sz w:val="20"/>
                <w:szCs w:val="20"/>
              </w:rPr>
              <w:t>TBC</w:t>
            </w:r>
            <w:r w:rsidRPr="00D73681">
              <w:rPr>
                <w:rFonts w:eastAsia="SimSun" w:cstheme="minorHAnsi"/>
                <w:i/>
                <w:iCs/>
                <w:sz w:val="20"/>
                <w:szCs w:val="20"/>
              </w:rPr>
              <w:t>)</w:t>
            </w:r>
          </w:p>
        </w:tc>
        <w:tc>
          <w:tcPr>
            <w:tcW w:w="5954" w:type="dxa"/>
          </w:tcPr>
          <w:p w14:paraId="73B2BCC5" w14:textId="41752D6B" w:rsidR="00383DC7" w:rsidRPr="00383DC7" w:rsidRDefault="00B75D24" w:rsidP="00225326">
            <w:pPr>
              <w:spacing w:line="240" w:lineRule="auto"/>
              <w:rPr>
                <w:rFonts w:eastAsia="SimSun" w:cstheme="minorHAnsi"/>
                <w:iCs/>
                <w:sz w:val="20"/>
                <w:szCs w:val="20"/>
              </w:rPr>
            </w:pPr>
            <w:r>
              <w:rPr>
                <w:rFonts w:eastAsia="SimSun" w:cstheme="minorHAnsi"/>
                <w:iCs/>
                <w:sz w:val="20"/>
                <w:szCs w:val="20"/>
              </w:rPr>
              <w:t>There is strong evidence that policies to address climate change can deliver economic growth and power other SDGs. What are prerequisites for such growth to be inclusive and beneficial to all?</w:t>
            </w:r>
          </w:p>
        </w:tc>
      </w:tr>
      <w:tr w:rsidR="00383DC7" w:rsidRPr="00383DC7" w14:paraId="763561AF" w14:textId="77777777" w:rsidTr="005F762F">
        <w:trPr>
          <w:trHeight w:val="897"/>
          <w:jc w:val="center"/>
        </w:trPr>
        <w:tc>
          <w:tcPr>
            <w:tcW w:w="3964" w:type="dxa"/>
          </w:tcPr>
          <w:p w14:paraId="2694F3B5" w14:textId="5614E5D9" w:rsidR="00383DC7" w:rsidRPr="00D73681" w:rsidRDefault="00383DC7" w:rsidP="00225326">
            <w:pPr>
              <w:spacing w:line="240" w:lineRule="auto"/>
              <w:rPr>
                <w:rFonts w:eastAsia="SimSun" w:cstheme="minorHAnsi"/>
                <w:iCs/>
                <w:sz w:val="20"/>
                <w:szCs w:val="20"/>
              </w:rPr>
            </w:pPr>
            <w:r w:rsidRPr="008122BB">
              <w:rPr>
                <w:rFonts w:eastAsia="SimSun" w:cstheme="minorHAnsi"/>
                <w:iCs/>
                <w:sz w:val="20"/>
                <w:szCs w:val="20"/>
              </w:rPr>
              <w:t xml:space="preserve">- Mr. </w:t>
            </w:r>
            <w:proofErr w:type="spellStart"/>
            <w:r w:rsidRPr="008122BB">
              <w:rPr>
                <w:rFonts w:eastAsia="SimSun" w:cstheme="minorHAnsi"/>
                <w:iCs/>
                <w:sz w:val="20"/>
                <w:szCs w:val="20"/>
              </w:rPr>
              <w:t>Shoaib</w:t>
            </w:r>
            <w:proofErr w:type="spellEnd"/>
            <w:r w:rsidRPr="008122BB">
              <w:rPr>
                <w:rFonts w:eastAsia="SimSun" w:cstheme="minorHAnsi"/>
                <w:iCs/>
                <w:sz w:val="20"/>
                <w:szCs w:val="20"/>
              </w:rPr>
              <w:t xml:space="preserve"> </w:t>
            </w:r>
            <w:proofErr w:type="spellStart"/>
            <w:r w:rsidRPr="008122BB">
              <w:rPr>
                <w:rFonts w:eastAsia="SimSun" w:cstheme="minorHAnsi"/>
                <w:iCs/>
                <w:sz w:val="20"/>
                <w:szCs w:val="20"/>
              </w:rPr>
              <w:t>Sarwar</w:t>
            </w:r>
            <w:proofErr w:type="spellEnd"/>
            <w:r w:rsidRPr="008122BB">
              <w:rPr>
                <w:rFonts w:eastAsia="SimSun" w:cstheme="minorHAnsi"/>
                <w:iCs/>
                <w:sz w:val="20"/>
                <w:szCs w:val="20"/>
              </w:rPr>
              <w:t xml:space="preserve">, </w:t>
            </w:r>
            <w:r>
              <w:rPr>
                <w:rFonts w:eastAsia="SimSun" w:cstheme="minorHAnsi"/>
                <w:iCs/>
                <w:sz w:val="20"/>
                <w:szCs w:val="20"/>
              </w:rPr>
              <w:t>A</w:t>
            </w:r>
            <w:r w:rsidRPr="008122BB">
              <w:rPr>
                <w:rFonts w:eastAsia="SimSun" w:cstheme="minorHAnsi"/>
                <w:iCs/>
                <w:sz w:val="20"/>
                <w:szCs w:val="20"/>
              </w:rPr>
              <w:t xml:space="preserve">ssistant </w:t>
            </w:r>
            <w:r>
              <w:rPr>
                <w:rFonts w:eastAsia="SimSun" w:cstheme="minorHAnsi"/>
                <w:iCs/>
                <w:sz w:val="20"/>
                <w:szCs w:val="20"/>
              </w:rPr>
              <w:t>D</w:t>
            </w:r>
            <w:r w:rsidRPr="008122BB">
              <w:rPr>
                <w:rFonts w:eastAsia="SimSun" w:cstheme="minorHAnsi"/>
                <w:iCs/>
                <w:sz w:val="20"/>
                <w:szCs w:val="20"/>
              </w:rPr>
              <w:t>irector, Ministry of Foreign Affairs, Pakistan</w:t>
            </w:r>
            <w:r>
              <w:rPr>
                <w:rFonts w:eastAsia="SimSun" w:cstheme="minorHAnsi"/>
                <w:iCs/>
                <w:sz w:val="20"/>
                <w:szCs w:val="20"/>
              </w:rPr>
              <w:t xml:space="preserve"> </w:t>
            </w:r>
            <w:r w:rsidRPr="008122BB">
              <w:rPr>
                <w:rFonts w:eastAsia="SimSun" w:cstheme="minorHAnsi"/>
                <w:i/>
                <w:iCs/>
                <w:sz w:val="20"/>
                <w:szCs w:val="20"/>
              </w:rPr>
              <w:t>(TBC)</w:t>
            </w:r>
          </w:p>
        </w:tc>
        <w:tc>
          <w:tcPr>
            <w:tcW w:w="5954" w:type="dxa"/>
          </w:tcPr>
          <w:p w14:paraId="3B563B80" w14:textId="7E604FC9" w:rsidR="00383DC7" w:rsidRPr="00383DC7" w:rsidRDefault="00B75D24" w:rsidP="00225326">
            <w:pPr>
              <w:spacing w:line="240" w:lineRule="auto"/>
              <w:rPr>
                <w:rFonts w:eastAsia="SimSun" w:cstheme="minorHAnsi"/>
                <w:iCs/>
                <w:sz w:val="20"/>
                <w:szCs w:val="20"/>
              </w:rPr>
            </w:pPr>
            <w:r>
              <w:rPr>
                <w:rFonts w:eastAsia="SimSun" w:cstheme="minorHAnsi"/>
                <w:iCs/>
                <w:sz w:val="20"/>
                <w:szCs w:val="20"/>
              </w:rPr>
              <w:t xml:space="preserve">Pakistan </w:t>
            </w:r>
            <w:r w:rsidR="005F762F">
              <w:rPr>
                <w:rFonts w:eastAsia="SimSun" w:cstheme="minorHAnsi"/>
                <w:iCs/>
                <w:sz w:val="20"/>
                <w:szCs w:val="20"/>
              </w:rPr>
              <w:t>has taken innovative approaches to jobs creation and inclusion through innovative programmes such as the “tsunami project” to reduce the risk of natural disasters. What lessons can be drawn from such experience?</w:t>
            </w:r>
          </w:p>
        </w:tc>
      </w:tr>
      <w:tr w:rsidR="00383DC7" w:rsidRPr="00383DC7" w14:paraId="5CA84504" w14:textId="77777777" w:rsidTr="005F762F">
        <w:trPr>
          <w:trHeight w:val="557"/>
          <w:jc w:val="center"/>
        </w:trPr>
        <w:tc>
          <w:tcPr>
            <w:tcW w:w="3964" w:type="dxa"/>
            <w:tcBorders>
              <w:bottom w:val="single" w:sz="4" w:space="0" w:color="auto"/>
            </w:tcBorders>
          </w:tcPr>
          <w:p w14:paraId="3A6B540B" w14:textId="5A8E2560" w:rsidR="00383DC7" w:rsidRPr="00D73681" w:rsidRDefault="00383DC7" w:rsidP="00225326">
            <w:pPr>
              <w:spacing w:line="240" w:lineRule="auto"/>
              <w:contextualSpacing/>
              <w:rPr>
                <w:rFonts w:eastAsia="SimSun" w:cstheme="minorHAnsi"/>
                <w:iCs/>
                <w:sz w:val="20"/>
                <w:szCs w:val="20"/>
              </w:rPr>
            </w:pPr>
            <w:r w:rsidRPr="00D73681">
              <w:rPr>
                <w:rFonts w:ascii="Calibri" w:hAnsi="Calibri" w:cs="Calibri"/>
                <w:sz w:val="20"/>
                <w:szCs w:val="20"/>
              </w:rPr>
              <w:t>-</w:t>
            </w:r>
            <w:r w:rsidRPr="00D73681">
              <w:rPr>
                <w:rFonts w:cstheme="minorHAnsi"/>
                <w:sz w:val="20"/>
                <w:szCs w:val="20"/>
              </w:rPr>
              <w:t xml:space="preserve"> Mr. Eco </w:t>
            </w:r>
            <w:proofErr w:type="spellStart"/>
            <w:r w:rsidRPr="00D73681">
              <w:rPr>
                <w:rFonts w:cstheme="minorHAnsi"/>
                <w:sz w:val="20"/>
                <w:szCs w:val="20"/>
              </w:rPr>
              <w:t>Matser</w:t>
            </w:r>
            <w:proofErr w:type="spellEnd"/>
            <w:r w:rsidRPr="00D73681">
              <w:rPr>
                <w:rFonts w:cstheme="minorHAnsi"/>
                <w:sz w:val="20"/>
                <w:szCs w:val="20"/>
              </w:rPr>
              <w:t xml:space="preserve">, Global Coordinator for Climate Change, Energy and Development, HIVOS </w:t>
            </w:r>
            <w:r w:rsidRPr="00D73681">
              <w:rPr>
                <w:rFonts w:cstheme="minorHAnsi"/>
                <w:i/>
                <w:sz w:val="20"/>
                <w:szCs w:val="20"/>
              </w:rPr>
              <w:t>(</w:t>
            </w:r>
            <w:r>
              <w:rPr>
                <w:rFonts w:cstheme="minorHAnsi"/>
                <w:i/>
                <w:sz w:val="20"/>
                <w:szCs w:val="20"/>
              </w:rPr>
              <w:t>confirmed</w:t>
            </w:r>
            <w:r w:rsidRPr="00D73681">
              <w:rPr>
                <w:rFonts w:cstheme="minorHAnsi"/>
                <w:i/>
                <w:sz w:val="20"/>
                <w:szCs w:val="20"/>
              </w:rPr>
              <w:t>)</w:t>
            </w:r>
          </w:p>
        </w:tc>
        <w:tc>
          <w:tcPr>
            <w:tcW w:w="5954" w:type="dxa"/>
            <w:tcBorders>
              <w:bottom w:val="single" w:sz="4" w:space="0" w:color="auto"/>
            </w:tcBorders>
          </w:tcPr>
          <w:p w14:paraId="4283FDB1" w14:textId="6141FDEC" w:rsidR="00383DC7" w:rsidRPr="00383DC7" w:rsidRDefault="00225326" w:rsidP="00225326">
            <w:pPr>
              <w:spacing w:line="240" w:lineRule="auto"/>
              <w:rPr>
                <w:rFonts w:eastAsia="SimSun" w:cstheme="minorHAnsi"/>
                <w:iCs/>
                <w:sz w:val="20"/>
                <w:szCs w:val="20"/>
              </w:rPr>
            </w:pPr>
            <w:r>
              <w:rPr>
                <w:rFonts w:eastAsia="SimSun" w:cstheme="minorHAnsi"/>
                <w:iCs/>
                <w:sz w:val="20"/>
                <w:szCs w:val="20"/>
              </w:rPr>
              <w:t>The energy transition represents a central pillar of climate action. What approaches can enable a transition without major economic and social disruption?</w:t>
            </w:r>
          </w:p>
        </w:tc>
      </w:tr>
    </w:tbl>
    <w:p w14:paraId="5CE4C748" w14:textId="77777777" w:rsidR="00A55C78" w:rsidRDefault="00A55C78" w:rsidP="00FA782C">
      <w:pPr>
        <w:pStyle w:val="ListParagraph"/>
        <w:spacing w:after="120" w:line="240" w:lineRule="auto"/>
        <w:ind w:left="0"/>
        <w:jc w:val="both"/>
      </w:pPr>
    </w:p>
    <w:p w14:paraId="299D61FD" w14:textId="77777777" w:rsidR="002E1F18" w:rsidRDefault="002E1F18" w:rsidP="00FA782C">
      <w:pPr>
        <w:pStyle w:val="ListParagraph"/>
        <w:spacing w:after="120" w:line="240" w:lineRule="auto"/>
        <w:ind w:left="0"/>
        <w:jc w:val="both"/>
        <w:rPr>
          <w:b/>
        </w:rPr>
      </w:pPr>
    </w:p>
    <w:p w14:paraId="2653ECFB" w14:textId="7CB72C80" w:rsidR="002E1F18" w:rsidRPr="002E1F18" w:rsidRDefault="002E1F18" w:rsidP="00FA782C">
      <w:pPr>
        <w:pStyle w:val="ListParagraph"/>
        <w:spacing w:after="120" w:line="240" w:lineRule="auto"/>
        <w:ind w:left="0"/>
        <w:jc w:val="both"/>
        <w:rPr>
          <w:b/>
        </w:rPr>
      </w:pPr>
      <w:r w:rsidRPr="002E1F18">
        <w:rPr>
          <w:b/>
        </w:rPr>
        <w:t>Reading and reference documents</w:t>
      </w:r>
    </w:p>
    <w:p w14:paraId="1A304DBB" w14:textId="77777777" w:rsidR="002E1F18" w:rsidRPr="002E1F18" w:rsidRDefault="002E1F18" w:rsidP="002E1F18">
      <w:pPr>
        <w:rPr>
          <w:sz w:val="20"/>
          <w:szCs w:val="20"/>
        </w:rPr>
      </w:pPr>
      <w:hyperlink r:id="rId9" w:history="1">
        <w:r w:rsidRPr="002E1F18">
          <w:rPr>
            <w:rStyle w:val="Hyperlink"/>
            <w:sz w:val="20"/>
            <w:szCs w:val="20"/>
          </w:rPr>
          <w:t xml:space="preserve">UN Environment Management Group - Nexus Dialogue </w:t>
        </w:r>
        <w:r w:rsidRPr="002E1F18">
          <w:rPr>
            <w:rStyle w:val="Hyperlink"/>
            <w:i/>
            <w:iCs/>
            <w:sz w:val="20"/>
            <w:szCs w:val="20"/>
          </w:rPr>
          <w:t>Greening with Jobs: A Just Transition to Sustainability, 23 October 2018. Ten Key Messages</w:t>
        </w:r>
      </w:hyperlink>
      <w:r w:rsidRPr="002E1F18">
        <w:rPr>
          <w:sz w:val="20"/>
          <w:szCs w:val="20"/>
        </w:rPr>
        <w:t xml:space="preserve"> – By UN EMG</w:t>
      </w:r>
    </w:p>
    <w:p w14:paraId="330BB652" w14:textId="77777777" w:rsidR="002E1F18" w:rsidRPr="002E1F18" w:rsidRDefault="002E1F18" w:rsidP="002E1F18">
      <w:pPr>
        <w:rPr>
          <w:color w:val="1F497D"/>
          <w:sz w:val="20"/>
          <w:szCs w:val="20"/>
        </w:rPr>
      </w:pPr>
      <w:hyperlink r:id="rId10" w:history="1">
        <w:r w:rsidRPr="002E1F18">
          <w:rPr>
            <w:rStyle w:val="Hyperlink"/>
            <w:sz w:val="20"/>
            <w:szCs w:val="20"/>
          </w:rPr>
          <w:t>Guidelines for a just transition towards environmentally sustainable economies and societies for all</w:t>
        </w:r>
      </w:hyperlink>
      <w:r w:rsidRPr="002E1F18">
        <w:rPr>
          <w:color w:val="1F497D"/>
          <w:sz w:val="20"/>
          <w:szCs w:val="20"/>
        </w:rPr>
        <w:t xml:space="preserve"> – </w:t>
      </w:r>
      <w:r w:rsidRPr="002E1F18">
        <w:rPr>
          <w:sz w:val="20"/>
          <w:szCs w:val="20"/>
        </w:rPr>
        <w:t>By ILO</w:t>
      </w:r>
    </w:p>
    <w:p w14:paraId="32FCE42B" w14:textId="77777777" w:rsidR="002E1F18" w:rsidRPr="002E1F18" w:rsidRDefault="002E1F18" w:rsidP="002E1F18">
      <w:pPr>
        <w:autoSpaceDE w:val="0"/>
        <w:autoSpaceDN w:val="0"/>
        <w:adjustRightInd w:val="0"/>
        <w:rPr>
          <w:color w:val="1F497D"/>
          <w:sz w:val="20"/>
          <w:szCs w:val="20"/>
        </w:rPr>
      </w:pPr>
      <w:hyperlink r:id="rId11" w:history="1">
        <w:r w:rsidRPr="002E1F18">
          <w:rPr>
            <w:rStyle w:val="Hyperlink"/>
            <w:sz w:val="20"/>
            <w:szCs w:val="20"/>
          </w:rPr>
          <w:t>Climate change and the just transition: A guide for investor action</w:t>
        </w:r>
      </w:hyperlink>
      <w:r w:rsidRPr="002E1F18">
        <w:rPr>
          <w:color w:val="1F497D"/>
          <w:sz w:val="20"/>
          <w:szCs w:val="20"/>
        </w:rPr>
        <w:t xml:space="preserve"> – </w:t>
      </w:r>
      <w:r w:rsidRPr="002E1F18">
        <w:rPr>
          <w:sz w:val="20"/>
          <w:szCs w:val="20"/>
        </w:rPr>
        <w:t>by LSE, Grantham institute et al.</w:t>
      </w:r>
      <w:r w:rsidRPr="002E1F18">
        <w:rPr>
          <w:color w:val="1F497D"/>
          <w:sz w:val="20"/>
          <w:szCs w:val="20"/>
        </w:rPr>
        <w:t xml:space="preserve"> </w:t>
      </w:r>
    </w:p>
    <w:p w14:paraId="2ACA19FE" w14:textId="77777777" w:rsidR="002E1F18" w:rsidRDefault="002E1F18" w:rsidP="002E1F18">
      <w:pPr>
        <w:autoSpaceDE w:val="0"/>
        <w:autoSpaceDN w:val="0"/>
        <w:adjustRightInd w:val="0"/>
        <w:rPr>
          <w:color w:val="1F497D"/>
        </w:rPr>
      </w:pPr>
      <w:bookmarkStart w:id="0" w:name="_GoBack"/>
      <w:bookmarkEnd w:id="0"/>
    </w:p>
    <w:p w14:paraId="1EAF4869" w14:textId="77777777" w:rsidR="002E1F18" w:rsidRDefault="002E1F18" w:rsidP="00FA782C">
      <w:pPr>
        <w:pStyle w:val="ListParagraph"/>
        <w:spacing w:after="120" w:line="240" w:lineRule="auto"/>
        <w:ind w:left="0"/>
        <w:jc w:val="both"/>
      </w:pPr>
    </w:p>
    <w:sectPr w:rsidR="002E1F18" w:rsidSect="002E1F18">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625B2" w14:textId="77777777" w:rsidR="003E583B" w:rsidRDefault="003E583B" w:rsidP="00B26F49">
      <w:pPr>
        <w:spacing w:after="0" w:line="240" w:lineRule="auto"/>
      </w:pPr>
      <w:r>
        <w:separator/>
      </w:r>
    </w:p>
  </w:endnote>
  <w:endnote w:type="continuationSeparator" w:id="0">
    <w:p w14:paraId="7AE31EB0" w14:textId="77777777" w:rsidR="003E583B" w:rsidRDefault="003E583B" w:rsidP="00B2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62B7A" w14:textId="77777777" w:rsidR="003E583B" w:rsidRDefault="003E583B" w:rsidP="00B26F49">
      <w:pPr>
        <w:spacing w:after="0" w:line="240" w:lineRule="auto"/>
      </w:pPr>
      <w:r>
        <w:separator/>
      </w:r>
    </w:p>
  </w:footnote>
  <w:footnote w:type="continuationSeparator" w:id="0">
    <w:p w14:paraId="6338148B" w14:textId="77777777" w:rsidR="003E583B" w:rsidRDefault="003E583B" w:rsidP="00B26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5B7B" w14:textId="4DFBD721" w:rsidR="001B4162" w:rsidRDefault="001B4162">
    <w:pPr>
      <w:pStyle w:val="Header"/>
    </w:pPr>
  </w:p>
  <w:p w14:paraId="279F4D08" w14:textId="438DD157" w:rsidR="001B4162" w:rsidRDefault="001B4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2B08"/>
    <w:multiLevelType w:val="hybridMultilevel"/>
    <w:tmpl w:val="F3C0C7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2B42A6"/>
    <w:multiLevelType w:val="hybridMultilevel"/>
    <w:tmpl w:val="5608C2BA"/>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nsid w:val="140C532D"/>
    <w:multiLevelType w:val="hybridMultilevel"/>
    <w:tmpl w:val="386CE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6D5126"/>
    <w:multiLevelType w:val="hybridMultilevel"/>
    <w:tmpl w:val="B9BA8308"/>
    <w:lvl w:ilvl="0" w:tplc="5BF43C7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E591829"/>
    <w:multiLevelType w:val="hybridMultilevel"/>
    <w:tmpl w:val="FEF46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007536"/>
    <w:multiLevelType w:val="hybridMultilevel"/>
    <w:tmpl w:val="BCB28C86"/>
    <w:lvl w:ilvl="0" w:tplc="05F85DD6">
      <w:start w:val="85"/>
      <w:numFmt w:val="bullet"/>
      <w:lvlText w:val="-"/>
      <w:lvlJc w:val="left"/>
      <w:pPr>
        <w:ind w:left="360" w:hanging="360"/>
      </w:pPr>
      <w:rPr>
        <w:rFonts w:ascii="Calibri" w:eastAsiaTheme="minorEastAsia"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1BA0631"/>
    <w:multiLevelType w:val="hybridMultilevel"/>
    <w:tmpl w:val="2DF8EBFE"/>
    <w:lvl w:ilvl="0" w:tplc="2FDEB9EC">
      <w:start w:val="1"/>
      <w:numFmt w:val="decimal"/>
      <w:lvlText w:val="%1."/>
      <w:lvlJc w:val="left"/>
      <w:pPr>
        <w:ind w:left="360" w:hanging="360"/>
      </w:pPr>
      <w:rPr>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23A3A31"/>
    <w:multiLevelType w:val="hybridMultilevel"/>
    <w:tmpl w:val="46FC9904"/>
    <w:lvl w:ilvl="0" w:tplc="0809000B">
      <w:start w:val="1"/>
      <w:numFmt w:val="bullet"/>
      <w:lvlText w:val=""/>
      <w:lvlJc w:val="left"/>
      <w:pPr>
        <w:tabs>
          <w:tab w:val="num" w:pos="1080"/>
        </w:tabs>
        <w:ind w:left="1080" w:hanging="360"/>
      </w:pPr>
      <w:rPr>
        <w:rFonts w:ascii="Wingdings" w:hAnsi="Wingdings" w:hint="default"/>
      </w:rPr>
    </w:lvl>
    <w:lvl w:ilvl="1" w:tplc="8296554A" w:tentative="1">
      <w:start w:val="1"/>
      <w:numFmt w:val="bullet"/>
      <w:lvlText w:val="•"/>
      <w:lvlJc w:val="left"/>
      <w:pPr>
        <w:tabs>
          <w:tab w:val="num" w:pos="1800"/>
        </w:tabs>
        <w:ind w:left="1800" w:hanging="360"/>
      </w:pPr>
      <w:rPr>
        <w:rFonts w:ascii="Times New Roman" w:hAnsi="Times New Roman" w:hint="default"/>
      </w:rPr>
    </w:lvl>
    <w:lvl w:ilvl="2" w:tplc="54E41A36" w:tentative="1">
      <w:start w:val="1"/>
      <w:numFmt w:val="bullet"/>
      <w:lvlText w:val="•"/>
      <w:lvlJc w:val="left"/>
      <w:pPr>
        <w:tabs>
          <w:tab w:val="num" w:pos="2520"/>
        </w:tabs>
        <w:ind w:left="2520" w:hanging="360"/>
      </w:pPr>
      <w:rPr>
        <w:rFonts w:ascii="Times New Roman" w:hAnsi="Times New Roman" w:hint="default"/>
      </w:rPr>
    </w:lvl>
    <w:lvl w:ilvl="3" w:tplc="092E769C" w:tentative="1">
      <w:start w:val="1"/>
      <w:numFmt w:val="bullet"/>
      <w:lvlText w:val="•"/>
      <w:lvlJc w:val="left"/>
      <w:pPr>
        <w:tabs>
          <w:tab w:val="num" w:pos="3240"/>
        </w:tabs>
        <w:ind w:left="3240" w:hanging="360"/>
      </w:pPr>
      <w:rPr>
        <w:rFonts w:ascii="Times New Roman" w:hAnsi="Times New Roman" w:hint="default"/>
      </w:rPr>
    </w:lvl>
    <w:lvl w:ilvl="4" w:tplc="D9BA4B86" w:tentative="1">
      <w:start w:val="1"/>
      <w:numFmt w:val="bullet"/>
      <w:lvlText w:val="•"/>
      <w:lvlJc w:val="left"/>
      <w:pPr>
        <w:tabs>
          <w:tab w:val="num" w:pos="3960"/>
        </w:tabs>
        <w:ind w:left="3960" w:hanging="360"/>
      </w:pPr>
      <w:rPr>
        <w:rFonts w:ascii="Times New Roman" w:hAnsi="Times New Roman" w:hint="default"/>
      </w:rPr>
    </w:lvl>
    <w:lvl w:ilvl="5" w:tplc="B98A8C50" w:tentative="1">
      <w:start w:val="1"/>
      <w:numFmt w:val="bullet"/>
      <w:lvlText w:val="•"/>
      <w:lvlJc w:val="left"/>
      <w:pPr>
        <w:tabs>
          <w:tab w:val="num" w:pos="4680"/>
        </w:tabs>
        <w:ind w:left="4680" w:hanging="360"/>
      </w:pPr>
      <w:rPr>
        <w:rFonts w:ascii="Times New Roman" w:hAnsi="Times New Roman" w:hint="default"/>
      </w:rPr>
    </w:lvl>
    <w:lvl w:ilvl="6" w:tplc="5D0277FE" w:tentative="1">
      <w:start w:val="1"/>
      <w:numFmt w:val="bullet"/>
      <w:lvlText w:val="•"/>
      <w:lvlJc w:val="left"/>
      <w:pPr>
        <w:tabs>
          <w:tab w:val="num" w:pos="5400"/>
        </w:tabs>
        <w:ind w:left="5400" w:hanging="360"/>
      </w:pPr>
      <w:rPr>
        <w:rFonts w:ascii="Times New Roman" w:hAnsi="Times New Roman" w:hint="default"/>
      </w:rPr>
    </w:lvl>
    <w:lvl w:ilvl="7" w:tplc="ABB8336A" w:tentative="1">
      <w:start w:val="1"/>
      <w:numFmt w:val="bullet"/>
      <w:lvlText w:val="•"/>
      <w:lvlJc w:val="left"/>
      <w:pPr>
        <w:tabs>
          <w:tab w:val="num" w:pos="6120"/>
        </w:tabs>
        <w:ind w:left="6120" w:hanging="360"/>
      </w:pPr>
      <w:rPr>
        <w:rFonts w:ascii="Times New Roman" w:hAnsi="Times New Roman" w:hint="default"/>
      </w:rPr>
    </w:lvl>
    <w:lvl w:ilvl="8" w:tplc="C78866D6" w:tentative="1">
      <w:start w:val="1"/>
      <w:numFmt w:val="bullet"/>
      <w:lvlText w:val="•"/>
      <w:lvlJc w:val="left"/>
      <w:pPr>
        <w:tabs>
          <w:tab w:val="num" w:pos="6840"/>
        </w:tabs>
        <w:ind w:left="6840" w:hanging="360"/>
      </w:pPr>
      <w:rPr>
        <w:rFonts w:ascii="Times New Roman" w:hAnsi="Times New Roman" w:hint="default"/>
      </w:rPr>
    </w:lvl>
  </w:abstractNum>
  <w:abstractNum w:abstractNumId="8">
    <w:nsid w:val="55AF6CD0"/>
    <w:multiLevelType w:val="hybridMultilevel"/>
    <w:tmpl w:val="8264D0F2"/>
    <w:lvl w:ilvl="0" w:tplc="08090001">
      <w:start w:val="1"/>
      <w:numFmt w:val="bullet"/>
      <w:lvlText w:val=""/>
      <w:lvlJc w:val="left"/>
      <w:pPr>
        <w:ind w:left="-711" w:hanging="360"/>
      </w:pPr>
      <w:rPr>
        <w:rFonts w:ascii="Symbol" w:hAnsi="Symbol" w:hint="default"/>
      </w:rPr>
    </w:lvl>
    <w:lvl w:ilvl="1" w:tplc="08090003">
      <w:start w:val="1"/>
      <w:numFmt w:val="bullet"/>
      <w:lvlText w:val="o"/>
      <w:lvlJc w:val="left"/>
      <w:pPr>
        <w:ind w:left="9" w:hanging="360"/>
      </w:pPr>
      <w:rPr>
        <w:rFonts w:ascii="Courier New" w:hAnsi="Courier New" w:cs="Courier New" w:hint="default"/>
      </w:rPr>
    </w:lvl>
    <w:lvl w:ilvl="2" w:tplc="08090005">
      <w:start w:val="1"/>
      <w:numFmt w:val="bullet"/>
      <w:lvlText w:val=""/>
      <w:lvlJc w:val="left"/>
      <w:pPr>
        <w:ind w:left="729" w:hanging="360"/>
      </w:pPr>
      <w:rPr>
        <w:rFonts w:ascii="Wingdings" w:hAnsi="Wingdings" w:hint="default"/>
      </w:rPr>
    </w:lvl>
    <w:lvl w:ilvl="3" w:tplc="08090001" w:tentative="1">
      <w:start w:val="1"/>
      <w:numFmt w:val="bullet"/>
      <w:lvlText w:val=""/>
      <w:lvlJc w:val="left"/>
      <w:pPr>
        <w:ind w:left="1449" w:hanging="360"/>
      </w:pPr>
      <w:rPr>
        <w:rFonts w:ascii="Symbol" w:hAnsi="Symbol" w:hint="default"/>
      </w:rPr>
    </w:lvl>
    <w:lvl w:ilvl="4" w:tplc="08090003" w:tentative="1">
      <w:start w:val="1"/>
      <w:numFmt w:val="bullet"/>
      <w:lvlText w:val="o"/>
      <w:lvlJc w:val="left"/>
      <w:pPr>
        <w:ind w:left="2169" w:hanging="360"/>
      </w:pPr>
      <w:rPr>
        <w:rFonts w:ascii="Courier New" w:hAnsi="Courier New" w:cs="Courier New" w:hint="default"/>
      </w:rPr>
    </w:lvl>
    <w:lvl w:ilvl="5" w:tplc="08090005" w:tentative="1">
      <w:start w:val="1"/>
      <w:numFmt w:val="bullet"/>
      <w:lvlText w:val=""/>
      <w:lvlJc w:val="left"/>
      <w:pPr>
        <w:ind w:left="2889" w:hanging="360"/>
      </w:pPr>
      <w:rPr>
        <w:rFonts w:ascii="Wingdings" w:hAnsi="Wingdings" w:hint="default"/>
      </w:rPr>
    </w:lvl>
    <w:lvl w:ilvl="6" w:tplc="08090001" w:tentative="1">
      <w:start w:val="1"/>
      <w:numFmt w:val="bullet"/>
      <w:lvlText w:val=""/>
      <w:lvlJc w:val="left"/>
      <w:pPr>
        <w:ind w:left="3609" w:hanging="360"/>
      </w:pPr>
      <w:rPr>
        <w:rFonts w:ascii="Symbol" w:hAnsi="Symbol" w:hint="default"/>
      </w:rPr>
    </w:lvl>
    <w:lvl w:ilvl="7" w:tplc="08090003" w:tentative="1">
      <w:start w:val="1"/>
      <w:numFmt w:val="bullet"/>
      <w:lvlText w:val="o"/>
      <w:lvlJc w:val="left"/>
      <w:pPr>
        <w:ind w:left="4329" w:hanging="360"/>
      </w:pPr>
      <w:rPr>
        <w:rFonts w:ascii="Courier New" w:hAnsi="Courier New" w:cs="Courier New" w:hint="default"/>
      </w:rPr>
    </w:lvl>
    <w:lvl w:ilvl="8" w:tplc="08090005" w:tentative="1">
      <w:start w:val="1"/>
      <w:numFmt w:val="bullet"/>
      <w:lvlText w:val=""/>
      <w:lvlJc w:val="left"/>
      <w:pPr>
        <w:ind w:left="5049" w:hanging="360"/>
      </w:pPr>
      <w:rPr>
        <w:rFonts w:ascii="Wingdings" w:hAnsi="Wingdings" w:hint="default"/>
      </w:rPr>
    </w:lvl>
  </w:abstractNum>
  <w:abstractNum w:abstractNumId="9">
    <w:nsid w:val="5FFA56AA"/>
    <w:multiLevelType w:val="hybridMultilevel"/>
    <w:tmpl w:val="06C4C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B63311"/>
    <w:multiLevelType w:val="hybridMultilevel"/>
    <w:tmpl w:val="9C34E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0"/>
  </w:num>
  <w:num w:numId="5">
    <w:abstractNumId w:val="4"/>
  </w:num>
  <w:num w:numId="6">
    <w:abstractNumId w:val="8"/>
  </w:num>
  <w:num w:numId="7">
    <w:abstractNumId w:val="0"/>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96"/>
    <w:rsid w:val="000007B8"/>
    <w:rsid w:val="00001A23"/>
    <w:rsid w:val="00005978"/>
    <w:rsid w:val="000069EE"/>
    <w:rsid w:val="000565D1"/>
    <w:rsid w:val="00065B2E"/>
    <w:rsid w:val="000662C4"/>
    <w:rsid w:val="000A010D"/>
    <w:rsid w:val="000A769B"/>
    <w:rsid w:val="000B210B"/>
    <w:rsid w:val="000B70FD"/>
    <w:rsid w:val="0011235E"/>
    <w:rsid w:val="00116D90"/>
    <w:rsid w:val="00140022"/>
    <w:rsid w:val="00151A0D"/>
    <w:rsid w:val="00171376"/>
    <w:rsid w:val="00191B49"/>
    <w:rsid w:val="00193453"/>
    <w:rsid w:val="001A1B0C"/>
    <w:rsid w:val="001B4162"/>
    <w:rsid w:val="001C4C8D"/>
    <w:rsid w:val="001D785A"/>
    <w:rsid w:val="00200796"/>
    <w:rsid w:val="00225326"/>
    <w:rsid w:val="0024392D"/>
    <w:rsid w:val="002531D3"/>
    <w:rsid w:val="00287B87"/>
    <w:rsid w:val="002A2653"/>
    <w:rsid w:val="002A50D2"/>
    <w:rsid w:val="002D582E"/>
    <w:rsid w:val="002E0849"/>
    <w:rsid w:val="002E1F18"/>
    <w:rsid w:val="002E6615"/>
    <w:rsid w:val="002F055C"/>
    <w:rsid w:val="002F17DD"/>
    <w:rsid w:val="00311FB8"/>
    <w:rsid w:val="00326B0A"/>
    <w:rsid w:val="003316D8"/>
    <w:rsid w:val="003417EE"/>
    <w:rsid w:val="0035282B"/>
    <w:rsid w:val="00365A44"/>
    <w:rsid w:val="00370F58"/>
    <w:rsid w:val="00381888"/>
    <w:rsid w:val="00383DC7"/>
    <w:rsid w:val="003906E3"/>
    <w:rsid w:val="003A2238"/>
    <w:rsid w:val="003A3EF4"/>
    <w:rsid w:val="003C4E80"/>
    <w:rsid w:val="003E3694"/>
    <w:rsid w:val="003E583B"/>
    <w:rsid w:val="003E77E3"/>
    <w:rsid w:val="003F199F"/>
    <w:rsid w:val="003F7B87"/>
    <w:rsid w:val="004102D9"/>
    <w:rsid w:val="00434096"/>
    <w:rsid w:val="004375D9"/>
    <w:rsid w:val="00450088"/>
    <w:rsid w:val="0045403B"/>
    <w:rsid w:val="00456561"/>
    <w:rsid w:val="0049238A"/>
    <w:rsid w:val="00493AF9"/>
    <w:rsid w:val="00495377"/>
    <w:rsid w:val="004A5F5C"/>
    <w:rsid w:val="004C0B76"/>
    <w:rsid w:val="004D4F08"/>
    <w:rsid w:val="004E2255"/>
    <w:rsid w:val="004F4A5E"/>
    <w:rsid w:val="004F59DD"/>
    <w:rsid w:val="005021E6"/>
    <w:rsid w:val="00516FFD"/>
    <w:rsid w:val="005435E1"/>
    <w:rsid w:val="00567C0A"/>
    <w:rsid w:val="00576137"/>
    <w:rsid w:val="005932A1"/>
    <w:rsid w:val="005C4F74"/>
    <w:rsid w:val="005F289E"/>
    <w:rsid w:val="005F762F"/>
    <w:rsid w:val="00613952"/>
    <w:rsid w:val="00637AF3"/>
    <w:rsid w:val="00650914"/>
    <w:rsid w:val="00654745"/>
    <w:rsid w:val="00654FC0"/>
    <w:rsid w:val="00660F5A"/>
    <w:rsid w:val="0066240F"/>
    <w:rsid w:val="00666619"/>
    <w:rsid w:val="006846DB"/>
    <w:rsid w:val="006853D8"/>
    <w:rsid w:val="006A50FB"/>
    <w:rsid w:val="007009C6"/>
    <w:rsid w:val="00721308"/>
    <w:rsid w:val="0074737F"/>
    <w:rsid w:val="0076420E"/>
    <w:rsid w:val="00764E4D"/>
    <w:rsid w:val="007828A6"/>
    <w:rsid w:val="0078384A"/>
    <w:rsid w:val="007A27DA"/>
    <w:rsid w:val="007B6CC2"/>
    <w:rsid w:val="007F13CF"/>
    <w:rsid w:val="008A6F87"/>
    <w:rsid w:val="008A7152"/>
    <w:rsid w:val="008A7573"/>
    <w:rsid w:val="008E5B09"/>
    <w:rsid w:val="008F4E71"/>
    <w:rsid w:val="0090053B"/>
    <w:rsid w:val="00900E0A"/>
    <w:rsid w:val="00902D21"/>
    <w:rsid w:val="0090377E"/>
    <w:rsid w:val="00941B9D"/>
    <w:rsid w:val="00961B55"/>
    <w:rsid w:val="00972480"/>
    <w:rsid w:val="009A2227"/>
    <w:rsid w:val="009C41D3"/>
    <w:rsid w:val="00A229BB"/>
    <w:rsid w:val="00A261B1"/>
    <w:rsid w:val="00A2756B"/>
    <w:rsid w:val="00A318A3"/>
    <w:rsid w:val="00A3193B"/>
    <w:rsid w:val="00A435C4"/>
    <w:rsid w:val="00A4570A"/>
    <w:rsid w:val="00A55C78"/>
    <w:rsid w:val="00AC48D1"/>
    <w:rsid w:val="00AC4D0A"/>
    <w:rsid w:val="00AD0D32"/>
    <w:rsid w:val="00AD38AC"/>
    <w:rsid w:val="00AD4553"/>
    <w:rsid w:val="00AE32FF"/>
    <w:rsid w:val="00B02FD5"/>
    <w:rsid w:val="00B26F49"/>
    <w:rsid w:val="00B303F7"/>
    <w:rsid w:val="00B427CB"/>
    <w:rsid w:val="00B45CA3"/>
    <w:rsid w:val="00B75D24"/>
    <w:rsid w:val="00B77120"/>
    <w:rsid w:val="00B80B28"/>
    <w:rsid w:val="00B911B1"/>
    <w:rsid w:val="00BA18E7"/>
    <w:rsid w:val="00BA7AEE"/>
    <w:rsid w:val="00BB5575"/>
    <w:rsid w:val="00BC3FEA"/>
    <w:rsid w:val="00BD071C"/>
    <w:rsid w:val="00BE7AA0"/>
    <w:rsid w:val="00BF26AD"/>
    <w:rsid w:val="00C1009A"/>
    <w:rsid w:val="00C12C82"/>
    <w:rsid w:val="00C30C47"/>
    <w:rsid w:val="00C4291C"/>
    <w:rsid w:val="00C6077E"/>
    <w:rsid w:val="00C665F0"/>
    <w:rsid w:val="00C90F41"/>
    <w:rsid w:val="00C94644"/>
    <w:rsid w:val="00CA0929"/>
    <w:rsid w:val="00CA5585"/>
    <w:rsid w:val="00CA5C1A"/>
    <w:rsid w:val="00CA5E41"/>
    <w:rsid w:val="00CB543D"/>
    <w:rsid w:val="00CD6BF4"/>
    <w:rsid w:val="00D04E40"/>
    <w:rsid w:val="00D47345"/>
    <w:rsid w:val="00D656DA"/>
    <w:rsid w:val="00D80F9A"/>
    <w:rsid w:val="00D81B9B"/>
    <w:rsid w:val="00DB1668"/>
    <w:rsid w:val="00DB5A15"/>
    <w:rsid w:val="00DB667E"/>
    <w:rsid w:val="00E01C4E"/>
    <w:rsid w:val="00E202E7"/>
    <w:rsid w:val="00E20A9E"/>
    <w:rsid w:val="00E43CF5"/>
    <w:rsid w:val="00E47A47"/>
    <w:rsid w:val="00E841EF"/>
    <w:rsid w:val="00EC61C5"/>
    <w:rsid w:val="00ED0B1E"/>
    <w:rsid w:val="00ED2445"/>
    <w:rsid w:val="00ED4B6F"/>
    <w:rsid w:val="00EE5C2C"/>
    <w:rsid w:val="00EE7ECC"/>
    <w:rsid w:val="00EF1470"/>
    <w:rsid w:val="00F16A08"/>
    <w:rsid w:val="00F333A9"/>
    <w:rsid w:val="00F57DA3"/>
    <w:rsid w:val="00F66C1C"/>
    <w:rsid w:val="00F716ED"/>
    <w:rsid w:val="00F96471"/>
    <w:rsid w:val="00FA782C"/>
    <w:rsid w:val="00FB5526"/>
    <w:rsid w:val="00FF7F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C9B23"/>
  <w15:docId w15:val="{7D1505CB-0B45-4407-B85A-1FF0C428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Premier,ADB paragraph numbering,Colorful List - Accent 11"/>
    <w:basedOn w:val="Normal"/>
    <w:link w:val="ListParagraphChar"/>
    <w:uiPriority w:val="34"/>
    <w:qFormat/>
    <w:rsid w:val="0045403B"/>
    <w:pPr>
      <w:ind w:left="720"/>
      <w:contextualSpacing/>
    </w:pPr>
  </w:style>
  <w:style w:type="table" w:styleId="TableGrid">
    <w:name w:val="Table Grid"/>
    <w:basedOn w:val="TableNormal"/>
    <w:uiPriority w:val="39"/>
    <w:rsid w:val="00BF2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26AD"/>
    <w:rPr>
      <w:color w:val="808080"/>
    </w:rPr>
  </w:style>
  <w:style w:type="character" w:styleId="Hyperlink">
    <w:name w:val="Hyperlink"/>
    <w:basedOn w:val="DefaultParagraphFont"/>
    <w:uiPriority w:val="99"/>
    <w:unhideWhenUsed/>
    <w:rsid w:val="00F96471"/>
    <w:rPr>
      <w:color w:val="0563C1" w:themeColor="hyperlink"/>
      <w:u w:val="single"/>
    </w:rPr>
  </w:style>
  <w:style w:type="table" w:customStyle="1" w:styleId="TableGrid1">
    <w:name w:val="Table Grid1"/>
    <w:basedOn w:val="TableNormal"/>
    <w:next w:val="TableGrid"/>
    <w:uiPriority w:val="59"/>
    <w:rsid w:val="00D656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F74"/>
    <w:rPr>
      <w:rFonts w:ascii="Tahoma" w:hAnsi="Tahoma" w:cs="Tahoma"/>
      <w:sz w:val="16"/>
      <w:szCs w:val="16"/>
      <w:lang w:val="en-US"/>
    </w:rPr>
  </w:style>
  <w:style w:type="character" w:styleId="CommentReference">
    <w:name w:val="annotation reference"/>
    <w:basedOn w:val="DefaultParagraphFont"/>
    <w:uiPriority w:val="99"/>
    <w:semiHidden/>
    <w:unhideWhenUsed/>
    <w:rsid w:val="00DB1668"/>
    <w:rPr>
      <w:sz w:val="16"/>
      <w:szCs w:val="16"/>
    </w:rPr>
  </w:style>
  <w:style w:type="paragraph" w:styleId="CommentText">
    <w:name w:val="annotation text"/>
    <w:basedOn w:val="Normal"/>
    <w:link w:val="CommentTextChar"/>
    <w:uiPriority w:val="99"/>
    <w:semiHidden/>
    <w:unhideWhenUsed/>
    <w:rsid w:val="00DB1668"/>
    <w:pPr>
      <w:spacing w:line="240" w:lineRule="auto"/>
    </w:pPr>
    <w:rPr>
      <w:sz w:val="20"/>
      <w:szCs w:val="20"/>
    </w:rPr>
  </w:style>
  <w:style w:type="character" w:customStyle="1" w:styleId="CommentTextChar">
    <w:name w:val="Comment Text Char"/>
    <w:basedOn w:val="DefaultParagraphFont"/>
    <w:link w:val="CommentText"/>
    <w:uiPriority w:val="99"/>
    <w:semiHidden/>
    <w:rsid w:val="00DB1668"/>
    <w:rPr>
      <w:sz w:val="20"/>
      <w:szCs w:val="20"/>
      <w:lang w:val="en-US"/>
    </w:rPr>
  </w:style>
  <w:style w:type="paragraph" w:styleId="CommentSubject">
    <w:name w:val="annotation subject"/>
    <w:basedOn w:val="CommentText"/>
    <w:next w:val="CommentText"/>
    <w:link w:val="CommentSubjectChar"/>
    <w:uiPriority w:val="99"/>
    <w:semiHidden/>
    <w:unhideWhenUsed/>
    <w:rsid w:val="00DB1668"/>
    <w:rPr>
      <w:b/>
      <w:bCs/>
    </w:rPr>
  </w:style>
  <w:style w:type="character" w:customStyle="1" w:styleId="CommentSubjectChar">
    <w:name w:val="Comment Subject Char"/>
    <w:basedOn w:val="CommentTextChar"/>
    <w:link w:val="CommentSubject"/>
    <w:uiPriority w:val="99"/>
    <w:semiHidden/>
    <w:rsid w:val="00DB1668"/>
    <w:rPr>
      <w:b/>
      <w:bCs/>
      <w:sz w:val="20"/>
      <w:szCs w:val="20"/>
      <w:lang w:val="en-US"/>
    </w:rPr>
  </w:style>
  <w:style w:type="paragraph" w:styleId="Header">
    <w:name w:val="header"/>
    <w:basedOn w:val="Normal"/>
    <w:link w:val="HeaderChar"/>
    <w:uiPriority w:val="99"/>
    <w:unhideWhenUsed/>
    <w:rsid w:val="00B26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F49"/>
    <w:rPr>
      <w:lang w:val="en-US"/>
    </w:rPr>
  </w:style>
  <w:style w:type="paragraph" w:styleId="Footer">
    <w:name w:val="footer"/>
    <w:basedOn w:val="Normal"/>
    <w:link w:val="FooterChar"/>
    <w:uiPriority w:val="99"/>
    <w:unhideWhenUsed/>
    <w:rsid w:val="00B26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49"/>
    <w:rPr>
      <w:lang w:val="en-US"/>
    </w:rPr>
  </w:style>
  <w:style w:type="character" w:styleId="Emphasis">
    <w:name w:val="Emphasis"/>
    <w:basedOn w:val="DefaultParagraphFont"/>
    <w:uiPriority w:val="20"/>
    <w:qFormat/>
    <w:rsid w:val="00654745"/>
    <w:rPr>
      <w:b/>
      <w:bCs/>
      <w:i w:val="0"/>
      <w:iCs w:val="0"/>
    </w:rPr>
  </w:style>
  <w:style w:type="character" w:customStyle="1" w:styleId="st1">
    <w:name w:val="st1"/>
    <w:basedOn w:val="DefaultParagraphFont"/>
    <w:rsid w:val="00654745"/>
  </w:style>
  <w:style w:type="paragraph" w:customStyle="1" w:styleId="Default">
    <w:name w:val="Default"/>
    <w:rsid w:val="004923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Strong">
    <w:name w:val="Strong"/>
    <w:basedOn w:val="DefaultParagraphFont"/>
    <w:uiPriority w:val="22"/>
    <w:qFormat/>
    <w:rsid w:val="004F59DD"/>
    <w:rPr>
      <w:b/>
      <w:bCs/>
    </w:rPr>
  </w:style>
  <w:style w:type="paragraph" w:styleId="NormalWeb">
    <w:name w:val="Normal (Web)"/>
    <w:basedOn w:val="Normal"/>
    <w:uiPriority w:val="99"/>
    <w:unhideWhenUsed/>
    <w:rsid w:val="001B41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2 Char,Premier Char,ADB paragraph numbering Char,Colorful List - Accent 11 Char"/>
    <w:link w:val="ListParagraph"/>
    <w:uiPriority w:val="34"/>
    <w:locked/>
    <w:rsid w:val="001B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7281">
      <w:bodyDiv w:val="1"/>
      <w:marLeft w:val="0"/>
      <w:marRight w:val="0"/>
      <w:marTop w:val="0"/>
      <w:marBottom w:val="0"/>
      <w:divBdr>
        <w:top w:val="none" w:sz="0" w:space="0" w:color="auto"/>
        <w:left w:val="none" w:sz="0" w:space="0" w:color="auto"/>
        <w:bottom w:val="none" w:sz="0" w:space="0" w:color="auto"/>
        <w:right w:val="none" w:sz="0" w:space="0" w:color="auto"/>
      </w:divBdr>
    </w:div>
    <w:div w:id="136386350">
      <w:bodyDiv w:val="1"/>
      <w:marLeft w:val="0"/>
      <w:marRight w:val="0"/>
      <w:marTop w:val="0"/>
      <w:marBottom w:val="0"/>
      <w:divBdr>
        <w:top w:val="none" w:sz="0" w:space="0" w:color="auto"/>
        <w:left w:val="none" w:sz="0" w:space="0" w:color="auto"/>
        <w:bottom w:val="none" w:sz="0" w:space="0" w:color="auto"/>
        <w:right w:val="none" w:sz="0" w:space="0" w:color="auto"/>
      </w:divBdr>
    </w:div>
    <w:div w:id="372460089">
      <w:bodyDiv w:val="1"/>
      <w:marLeft w:val="0"/>
      <w:marRight w:val="0"/>
      <w:marTop w:val="0"/>
      <w:marBottom w:val="0"/>
      <w:divBdr>
        <w:top w:val="none" w:sz="0" w:space="0" w:color="auto"/>
        <w:left w:val="none" w:sz="0" w:space="0" w:color="auto"/>
        <w:bottom w:val="none" w:sz="0" w:space="0" w:color="auto"/>
        <w:right w:val="none" w:sz="0" w:space="0" w:color="auto"/>
      </w:divBdr>
    </w:div>
    <w:div w:id="577985165">
      <w:bodyDiv w:val="1"/>
      <w:marLeft w:val="0"/>
      <w:marRight w:val="0"/>
      <w:marTop w:val="0"/>
      <w:marBottom w:val="0"/>
      <w:divBdr>
        <w:top w:val="none" w:sz="0" w:space="0" w:color="auto"/>
        <w:left w:val="none" w:sz="0" w:space="0" w:color="auto"/>
        <w:bottom w:val="none" w:sz="0" w:space="0" w:color="auto"/>
        <w:right w:val="none" w:sz="0" w:space="0" w:color="auto"/>
      </w:divBdr>
    </w:div>
    <w:div w:id="622229684">
      <w:bodyDiv w:val="1"/>
      <w:marLeft w:val="0"/>
      <w:marRight w:val="0"/>
      <w:marTop w:val="0"/>
      <w:marBottom w:val="0"/>
      <w:divBdr>
        <w:top w:val="none" w:sz="0" w:space="0" w:color="auto"/>
        <w:left w:val="none" w:sz="0" w:space="0" w:color="auto"/>
        <w:bottom w:val="none" w:sz="0" w:space="0" w:color="auto"/>
        <w:right w:val="none" w:sz="0" w:space="0" w:color="auto"/>
      </w:divBdr>
    </w:div>
    <w:div w:id="792940195">
      <w:bodyDiv w:val="1"/>
      <w:marLeft w:val="0"/>
      <w:marRight w:val="0"/>
      <w:marTop w:val="0"/>
      <w:marBottom w:val="0"/>
      <w:divBdr>
        <w:top w:val="none" w:sz="0" w:space="0" w:color="auto"/>
        <w:left w:val="none" w:sz="0" w:space="0" w:color="auto"/>
        <w:bottom w:val="none" w:sz="0" w:space="0" w:color="auto"/>
        <w:right w:val="none" w:sz="0" w:space="0" w:color="auto"/>
      </w:divBdr>
    </w:div>
    <w:div w:id="1299265968">
      <w:bodyDiv w:val="1"/>
      <w:marLeft w:val="0"/>
      <w:marRight w:val="0"/>
      <w:marTop w:val="0"/>
      <w:marBottom w:val="0"/>
      <w:divBdr>
        <w:top w:val="none" w:sz="0" w:space="0" w:color="auto"/>
        <w:left w:val="none" w:sz="0" w:space="0" w:color="auto"/>
        <w:bottom w:val="none" w:sz="0" w:space="0" w:color="auto"/>
        <w:right w:val="none" w:sz="0" w:space="0" w:color="auto"/>
      </w:divBdr>
    </w:div>
    <w:div w:id="1806585923">
      <w:bodyDiv w:val="1"/>
      <w:marLeft w:val="0"/>
      <w:marRight w:val="0"/>
      <w:marTop w:val="0"/>
      <w:marBottom w:val="0"/>
      <w:divBdr>
        <w:top w:val="none" w:sz="0" w:space="0" w:color="auto"/>
        <w:left w:val="none" w:sz="0" w:space="0" w:color="auto"/>
        <w:bottom w:val="none" w:sz="0" w:space="0" w:color="auto"/>
        <w:right w:val="none" w:sz="0" w:space="0" w:color="auto"/>
      </w:divBdr>
    </w:div>
    <w:div w:id="19571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pri.org/download?ac=5668" TargetMode="External"/><Relationship Id="rId5" Type="http://schemas.openxmlformats.org/officeDocument/2006/relationships/webSettings" Target="webSettings.xml"/><Relationship Id="rId10" Type="http://schemas.openxmlformats.org/officeDocument/2006/relationships/hyperlink" Target="https://www.ilo.org/wcmsp5/groups/public/---ed_emp/---emp_ent/documents/publication/wcms_432859.pdf" TargetMode="External"/><Relationship Id="rId4" Type="http://schemas.openxmlformats.org/officeDocument/2006/relationships/settings" Target="settings.xml"/><Relationship Id="rId9" Type="http://schemas.openxmlformats.org/officeDocument/2006/relationships/hyperlink" Target="https://unemg.org/upcoming-nexus-dialogue-greening-with-jobs-a-just-transition-to-sustain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D7C2-D311-4561-887D-06F36310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1041</Words>
  <Characters>5938</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ILO</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Gueye, Moustapha Kamal</dc:creator>
  <cp:lastModifiedBy>Gueye, Moustapha Kamal</cp:lastModifiedBy>
  <cp:revision>12</cp:revision>
  <dcterms:created xsi:type="dcterms:W3CDTF">2019-03-19T08:10:00Z</dcterms:created>
  <dcterms:modified xsi:type="dcterms:W3CDTF">2019-03-20T07:26:00Z</dcterms:modified>
</cp:coreProperties>
</file>