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480C" w:rsidP="0095480C" w:rsidRDefault="0095480C" w14:paraId="1FC3D7C8" w14:textId="461E0C4B">
      <w:pPr>
        <w:pStyle w:val="NormalWeb"/>
      </w:pPr>
    </w:p>
    <w:p w:rsidRPr="00860AC6" w:rsidR="00B1126D" w:rsidP="007D3621" w:rsidRDefault="00BB7E19" w14:paraId="65A73665" w14:textId="22C49632">
      <w:pPr>
        <w:spacing w:after="0" w:line="240" w:lineRule="auto"/>
        <w:jc w:val="center"/>
        <w:rPr>
          <w:b/>
          <w:bCs/>
          <w:color w:val="0070C0"/>
          <w:sz w:val="28"/>
          <w:szCs w:val="28"/>
        </w:rPr>
      </w:pPr>
      <w:r w:rsidRPr="00860AC6">
        <w:rPr>
          <w:b/>
          <w:bCs/>
          <w:color w:val="0070C0"/>
          <w:sz w:val="28"/>
          <w:szCs w:val="28"/>
        </w:rPr>
        <w:t>202</w:t>
      </w:r>
      <w:r w:rsidR="00C371CB">
        <w:rPr>
          <w:b/>
          <w:bCs/>
          <w:color w:val="0070C0"/>
          <w:sz w:val="28"/>
          <w:szCs w:val="28"/>
        </w:rPr>
        <w:t>5</w:t>
      </w:r>
      <w:r w:rsidRPr="00860AC6">
        <w:rPr>
          <w:b/>
          <w:bCs/>
          <w:color w:val="0070C0"/>
          <w:sz w:val="28"/>
          <w:szCs w:val="28"/>
        </w:rPr>
        <w:t xml:space="preserve"> HLPF thematic </w:t>
      </w:r>
      <w:r w:rsidRPr="00860AC6" w:rsidR="008659A6">
        <w:rPr>
          <w:b/>
          <w:bCs/>
          <w:color w:val="0070C0"/>
          <w:sz w:val="28"/>
          <w:szCs w:val="28"/>
        </w:rPr>
        <w:t>review</w:t>
      </w:r>
      <w:r w:rsidRPr="00860AC6" w:rsidR="005E518A">
        <w:rPr>
          <w:b/>
          <w:bCs/>
          <w:color w:val="0070C0"/>
          <w:sz w:val="28"/>
          <w:szCs w:val="28"/>
        </w:rPr>
        <w:t xml:space="preserve"> concept note</w:t>
      </w:r>
    </w:p>
    <w:p w:rsidRPr="00860AC6" w:rsidR="008659A6" w:rsidP="007D3621" w:rsidRDefault="008659A6" w14:paraId="75B7CBB2" w14:textId="7C297B24">
      <w:pPr>
        <w:spacing w:after="0" w:line="240" w:lineRule="auto"/>
        <w:jc w:val="center"/>
        <w:rPr>
          <w:b/>
          <w:bCs/>
          <w:color w:val="0070C0"/>
          <w:sz w:val="28"/>
          <w:szCs w:val="28"/>
        </w:rPr>
      </w:pPr>
      <w:r w:rsidRPr="00860AC6">
        <w:rPr>
          <w:b/>
          <w:bCs/>
          <w:color w:val="0070C0"/>
          <w:sz w:val="28"/>
          <w:szCs w:val="28"/>
        </w:rPr>
        <w:t xml:space="preserve">SDGs </w:t>
      </w:r>
      <w:r w:rsidR="00C371CB">
        <w:rPr>
          <w:b/>
          <w:bCs/>
          <w:color w:val="0070C0"/>
          <w:sz w:val="28"/>
          <w:szCs w:val="28"/>
        </w:rPr>
        <w:t xml:space="preserve">3, 5, 8, 14 </w:t>
      </w:r>
      <w:r w:rsidRPr="00860AC6" w:rsidR="005E518A">
        <w:rPr>
          <w:b/>
          <w:bCs/>
          <w:color w:val="0070C0"/>
          <w:sz w:val="28"/>
          <w:szCs w:val="28"/>
        </w:rPr>
        <w:t xml:space="preserve">and </w:t>
      </w:r>
      <w:r w:rsidRPr="00860AC6" w:rsidR="007D3621">
        <w:rPr>
          <w:b/>
          <w:bCs/>
          <w:color w:val="0070C0"/>
          <w:sz w:val="28"/>
          <w:szCs w:val="28"/>
        </w:rPr>
        <w:t>17</w:t>
      </w:r>
    </w:p>
    <w:p w:rsidRPr="007D3621" w:rsidR="00BB7E19" w:rsidP="007D3621" w:rsidRDefault="00BB7E19" w14:paraId="7BBD6D27" w14:textId="1254CB6C">
      <w:pPr>
        <w:spacing w:after="0" w:line="240" w:lineRule="auto"/>
        <w:rPr>
          <w:b/>
          <w:bCs/>
        </w:rPr>
      </w:pPr>
    </w:p>
    <w:p w:rsidR="00860AC6" w:rsidP="007D3621" w:rsidRDefault="00860AC6" w14:paraId="79EA39F0" w14:textId="77777777">
      <w:pPr>
        <w:spacing w:after="0" w:line="240" w:lineRule="auto"/>
        <w:rPr>
          <w:b/>
          <w:bCs/>
          <w:color w:val="0070C0"/>
          <w:u w:val="single"/>
        </w:rPr>
      </w:pPr>
    </w:p>
    <w:p w:rsidRPr="00FA1E09" w:rsidR="00FA1E09" w:rsidP="00FA1E09" w:rsidRDefault="001B1BF7" w14:paraId="0C0A8976" w14:textId="0AFA18F1">
      <w:pPr>
        <w:spacing w:after="120"/>
        <w:rPr>
          <w:b/>
          <w:bCs/>
          <w:color w:val="0070C0"/>
          <w:u w:val="single"/>
        </w:rPr>
      </w:pPr>
      <w:r w:rsidRPr="00860AC6">
        <w:rPr>
          <w:b/>
          <w:bCs/>
          <w:color w:val="0070C0"/>
          <w:u w:val="single"/>
        </w:rPr>
        <w:t>HLPF 202</w:t>
      </w:r>
      <w:r w:rsidR="00C371CB">
        <w:rPr>
          <w:b/>
          <w:bCs/>
          <w:color w:val="0070C0"/>
          <w:u w:val="single"/>
        </w:rPr>
        <w:t>5</w:t>
      </w:r>
      <w:r w:rsidRPr="00860AC6" w:rsidR="000D6329">
        <w:rPr>
          <w:b/>
          <w:bCs/>
          <w:color w:val="0070C0"/>
          <w:u w:val="single"/>
        </w:rPr>
        <w:t xml:space="preserve"> Overview</w:t>
      </w:r>
    </w:p>
    <w:p w:rsidRPr="0057179B" w:rsidR="0057179B" w:rsidP="00327BE7" w:rsidRDefault="00280FAD" w14:paraId="65DC44DF" w14:textId="4BBC28B4">
      <w:pPr>
        <w:pStyle w:val="Default"/>
        <w:spacing w:after="120" w:line="259" w:lineRule="auto"/>
        <w:rPr>
          <w:rFonts w:asciiTheme="minorHAnsi" w:hAnsiTheme="minorHAnsi" w:cstheme="minorHAnsi"/>
          <w:color w:val="auto"/>
          <w:sz w:val="22"/>
          <w:szCs w:val="22"/>
          <w:shd w:val="clear" w:color="auto" w:fill="FFFFFF"/>
          <w:lang w:val="en-GB"/>
        </w:rPr>
      </w:pPr>
      <w:r w:rsidRPr="0057179B">
        <w:rPr>
          <w:rFonts w:asciiTheme="minorHAnsi" w:hAnsiTheme="minorHAnsi" w:cstheme="minorHAnsi"/>
          <w:sz w:val="22"/>
          <w:szCs w:val="22"/>
        </w:rPr>
        <w:t>The theme of the 202</w:t>
      </w:r>
      <w:r w:rsidRPr="0057179B" w:rsidR="00C371CB">
        <w:rPr>
          <w:rFonts w:asciiTheme="minorHAnsi" w:hAnsiTheme="minorHAnsi" w:cstheme="minorHAnsi"/>
          <w:sz w:val="22"/>
          <w:szCs w:val="22"/>
        </w:rPr>
        <w:t>5</w:t>
      </w:r>
      <w:r w:rsidRPr="0057179B">
        <w:rPr>
          <w:rFonts w:asciiTheme="minorHAnsi" w:hAnsiTheme="minorHAnsi" w:cstheme="minorHAnsi"/>
          <w:sz w:val="22"/>
          <w:szCs w:val="22"/>
        </w:rPr>
        <w:t xml:space="preserve"> </w:t>
      </w:r>
      <w:r w:rsidRPr="0057179B" w:rsidR="008F6FC2">
        <w:rPr>
          <w:rFonts w:asciiTheme="minorHAnsi" w:hAnsiTheme="minorHAnsi" w:cstheme="minorHAnsi"/>
          <w:sz w:val="22"/>
          <w:szCs w:val="22"/>
        </w:rPr>
        <w:t>High Level Political Forum (</w:t>
      </w:r>
      <w:r w:rsidRPr="0057179B">
        <w:rPr>
          <w:rFonts w:asciiTheme="minorHAnsi" w:hAnsiTheme="minorHAnsi" w:cstheme="minorHAnsi"/>
          <w:color w:val="auto"/>
          <w:sz w:val="22"/>
          <w:szCs w:val="22"/>
        </w:rPr>
        <w:t>HLPF</w:t>
      </w:r>
      <w:r w:rsidRPr="0057179B" w:rsidR="008F6FC2">
        <w:rPr>
          <w:rFonts w:asciiTheme="minorHAnsi" w:hAnsiTheme="minorHAnsi" w:cstheme="minorHAnsi"/>
          <w:color w:val="auto"/>
          <w:sz w:val="22"/>
          <w:szCs w:val="22"/>
        </w:rPr>
        <w:t>)</w:t>
      </w:r>
      <w:r w:rsidRPr="0057179B">
        <w:rPr>
          <w:rFonts w:asciiTheme="minorHAnsi" w:hAnsiTheme="minorHAnsi" w:cstheme="minorHAnsi"/>
          <w:color w:val="auto"/>
          <w:sz w:val="22"/>
          <w:szCs w:val="22"/>
        </w:rPr>
        <w:t xml:space="preserve"> </w:t>
      </w:r>
      <w:r w:rsidRPr="0057179B" w:rsidR="00157587">
        <w:rPr>
          <w:rFonts w:asciiTheme="minorHAnsi" w:hAnsiTheme="minorHAnsi" w:cstheme="minorHAnsi"/>
          <w:color w:val="auto"/>
          <w:sz w:val="22"/>
          <w:szCs w:val="22"/>
        </w:rPr>
        <w:t xml:space="preserve">is </w:t>
      </w:r>
      <w:r w:rsidRPr="0057179B" w:rsidR="005E4B97">
        <w:rPr>
          <w:rFonts w:asciiTheme="minorHAnsi" w:hAnsiTheme="minorHAnsi" w:cstheme="minorHAnsi"/>
          <w:color w:val="auto"/>
          <w:sz w:val="22"/>
          <w:szCs w:val="22"/>
        </w:rPr>
        <w:t>“</w:t>
      </w:r>
      <w:r w:rsidRPr="0057179B" w:rsidR="0040453E">
        <w:rPr>
          <w:rFonts w:asciiTheme="minorHAnsi" w:hAnsiTheme="minorHAnsi" w:cstheme="minorHAnsi"/>
          <w:sz w:val="22"/>
          <w:szCs w:val="22"/>
        </w:rPr>
        <w:t>Advancing sustainable, inclusive, science- and evidence-based</w:t>
      </w:r>
      <w:r w:rsidRPr="0057179B" w:rsidR="0040453E">
        <w:rPr>
          <w:rFonts w:asciiTheme="minorHAnsi" w:hAnsiTheme="minorHAnsi" w:cstheme="minorHAnsi"/>
          <w:b/>
          <w:bCs/>
          <w:sz w:val="22"/>
          <w:szCs w:val="22"/>
        </w:rPr>
        <w:t xml:space="preserve"> </w:t>
      </w:r>
      <w:r w:rsidRPr="0057179B" w:rsidR="0040453E">
        <w:rPr>
          <w:rFonts w:asciiTheme="minorHAnsi" w:hAnsiTheme="minorHAnsi" w:cstheme="minorHAnsi"/>
          <w:sz w:val="22"/>
          <w:szCs w:val="22"/>
        </w:rPr>
        <w:t>solutions for the 2030 Agenda and its SDGs</w:t>
      </w:r>
      <w:r w:rsidRPr="0057179B" w:rsidR="0040453E">
        <w:rPr>
          <w:rFonts w:asciiTheme="minorHAnsi" w:hAnsiTheme="minorHAnsi" w:cstheme="minorHAnsi"/>
          <w:b/>
          <w:bCs/>
          <w:sz w:val="22"/>
          <w:szCs w:val="22"/>
        </w:rPr>
        <w:t xml:space="preserve"> </w:t>
      </w:r>
      <w:r w:rsidRPr="0057179B" w:rsidR="0040453E">
        <w:rPr>
          <w:rFonts w:asciiTheme="minorHAnsi" w:hAnsiTheme="minorHAnsi" w:cstheme="minorHAnsi"/>
          <w:sz w:val="22"/>
          <w:szCs w:val="22"/>
        </w:rPr>
        <w:t>for leaving no one behind</w:t>
      </w:r>
      <w:r w:rsidRPr="0057179B" w:rsidR="002876CA">
        <w:rPr>
          <w:rFonts w:asciiTheme="minorHAnsi" w:hAnsiTheme="minorHAnsi" w:cstheme="minorHAnsi"/>
          <w:color w:val="auto"/>
          <w:sz w:val="22"/>
          <w:szCs w:val="22"/>
          <w:shd w:val="clear" w:color="auto" w:fill="FFFFFF"/>
        </w:rPr>
        <w:t>”</w:t>
      </w:r>
      <w:r w:rsidRPr="0057179B" w:rsidR="005E4B97">
        <w:rPr>
          <w:rFonts w:asciiTheme="minorHAnsi" w:hAnsiTheme="minorHAnsi" w:cstheme="minorHAnsi"/>
          <w:color w:val="auto"/>
          <w:sz w:val="22"/>
          <w:szCs w:val="22"/>
        </w:rPr>
        <w:t>.</w:t>
      </w:r>
      <w:r w:rsidRPr="0057179B" w:rsidR="005D3B28">
        <w:rPr>
          <w:rFonts w:asciiTheme="minorHAnsi" w:hAnsiTheme="minorHAnsi" w:cstheme="minorHAnsi"/>
          <w:color w:val="auto"/>
          <w:sz w:val="22"/>
          <w:szCs w:val="22"/>
        </w:rPr>
        <w:t xml:space="preserve"> </w:t>
      </w:r>
      <w:r w:rsidRPr="0057179B" w:rsidR="00EB7975">
        <w:rPr>
          <w:rFonts w:asciiTheme="minorHAnsi" w:hAnsiTheme="minorHAnsi" w:cstheme="minorHAnsi"/>
          <w:color w:val="auto"/>
          <w:sz w:val="22"/>
          <w:szCs w:val="22"/>
        </w:rPr>
        <w:t>T</w:t>
      </w:r>
      <w:r w:rsidRPr="0057179B" w:rsidR="0046594C">
        <w:rPr>
          <w:rFonts w:asciiTheme="minorHAnsi" w:hAnsiTheme="minorHAnsi" w:cstheme="minorHAnsi"/>
          <w:color w:val="auto"/>
          <w:sz w:val="22"/>
          <w:szCs w:val="22"/>
          <w:shd w:val="clear" w:color="auto" w:fill="FFFFFF"/>
        </w:rPr>
        <w:t xml:space="preserve">he </w:t>
      </w:r>
      <w:r w:rsidRPr="0057179B" w:rsidR="000203CD">
        <w:rPr>
          <w:rFonts w:asciiTheme="minorHAnsi" w:hAnsiTheme="minorHAnsi" w:cstheme="minorHAnsi"/>
          <w:color w:val="auto"/>
          <w:sz w:val="22"/>
          <w:szCs w:val="22"/>
          <w:shd w:val="clear" w:color="auto" w:fill="FFFFFF"/>
        </w:rPr>
        <w:t>202</w:t>
      </w:r>
      <w:r w:rsidRPr="0057179B" w:rsidR="0040453E">
        <w:rPr>
          <w:rFonts w:asciiTheme="minorHAnsi" w:hAnsiTheme="minorHAnsi" w:cstheme="minorHAnsi"/>
          <w:color w:val="auto"/>
          <w:sz w:val="22"/>
          <w:szCs w:val="22"/>
          <w:shd w:val="clear" w:color="auto" w:fill="FFFFFF"/>
        </w:rPr>
        <w:t>5</w:t>
      </w:r>
      <w:r w:rsidRPr="0057179B" w:rsidR="000203CD">
        <w:rPr>
          <w:rFonts w:asciiTheme="minorHAnsi" w:hAnsiTheme="minorHAnsi" w:cstheme="minorHAnsi"/>
          <w:color w:val="auto"/>
          <w:sz w:val="22"/>
          <w:szCs w:val="22"/>
          <w:shd w:val="clear" w:color="auto" w:fill="FFFFFF"/>
        </w:rPr>
        <w:t xml:space="preserve"> </w:t>
      </w:r>
      <w:r w:rsidRPr="0057179B" w:rsidR="0046594C">
        <w:rPr>
          <w:rFonts w:asciiTheme="minorHAnsi" w:hAnsiTheme="minorHAnsi" w:cstheme="minorHAnsi"/>
          <w:color w:val="auto"/>
          <w:sz w:val="22"/>
          <w:szCs w:val="22"/>
          <w:shd w:val="clear" w:color="auto" w:fill="FFFFFF"/>
        </w:rPr>
        <w:t xml:space="preserve">HLPF will </w:t>
      </w:r>
      <w:r w:rsidRPr="0057179B" w:rsidR="000203CD">
        <w:rPr>
          <w:rFonts w:asciiTheme="minorHAnsi" w:hAnsiTheme="minorHAnsi" w:cstheme="minorHAnsi"/>
          <w:color w:val="auto"/>
          <w:sz w:val="22"/>
          <w:szCs w:val="22"/>
          <w:shd w:val="clear" w:color="auto" w:fill="FFFFFF"/>
        </w:rPr>
        <w:t xml:space="preserve">have an </w:t>
      </w:r>
      <w:r w:rsidRPr="0057179B" w:rsidR="0046594C">
        <w:rPr>
          <w:rFonts w:asciiTheme="minorHAnsi" w:hAnsiTheme="minorHAnsi" w:cstheme="minorHAnsi"/>
          <w:color w:val="auto"/>
          <w:sz w:val="22"/>
          <w:szCs w:val="22"/>
          <w:shd w:val="clear" w:color="auto" w:fill="FFFFFF"/>
        </w:rPr>
        <w:t xml:space="preserve">in-depth </w:t>
      </w:r>
      <w:r w:rsidRPr="0057179B" w:rsidR="000203CD">
        <w:rPr>
          <w:rFonts w:asciiTheme="minorHAnsi" w:hAnsiTheme="minorHAnsi" w:cstheme="minorHAnsi"/>
          <w:color w:val="auto"/>
          <w:sz w:val="22"/>
          <w:szCs w:val="22"/>
          <w:shd w:val="clear" w:color="auto" w:fill="FFFFFF"/>
        </w:rPr>
        <w:t xml:space="preserve">review of </w:t>
      </w:r>
      <w:r w:rsidRPr="0057179B" w:rsidR="0046594C">
        <w:rPr>
          <w:rFonts w:asciiTheme="minorHAnsi" w:hAnsiTheme="minorHAnsi" w:cstheme="minorHAnsi"/>
          <w:color w:val="auto"/>
          <w:sz w:val="22"/>
          <w:szCs w:val="22"/>
          <w:shd w:val="clear" w:color="auto" w:fill="FFFFFF"/>
        </w:rPr>
        <w:t xml:space="preserve">Sustainable Development </w:t>
      </w:r>
      <w:r w:rsidRPr="0057179B" w:rsidR="00C84A37">
        <w:rPr>
          <w:rFonts w:asciiTheme="minorHAnsi" w:hAnsiTheme="minorHAnsi" w:cstheme="minorHAnsi"/>
          <w:color w:val="auto"/>
          <w:sz w:val="22"/>
          <w:szCs w:val="22"/>
          <w:shd w:val="clear" w:color="auto" w:fill="FFFFFF"/>
        </w:rPr>
        <w:t>Goals</w:t>
      </w:r>
      <w:r w:rsidRPr="0057179B" w:rsidR="00D01A65">
        <w:rPr>
          <w:rFonts w:asciiTheme="minorHAnsi" w:hAnsiTheme="minorHAnsi" w:cstheme="minorHAnsi"/>
          <w:color w:val="auto"/>
          <w:sz w:val="22"/>
          <w:szCs w:val="22"/>
          <w:shd w:val="clear" w:color="auto" w:fill="FFFFFF"/>
        </w:rPr>
        <w:t xml:space="preserve"> </w:t>
      </w:r>
      <w:r w:rsidRPr="0057179B" w:rsidR="00C15167">
        <w:rPr>
          <w:rFonts w:asciiTheme="minorHAnsi" w:hAnsiTheme="minorHAnsi" w:cstheme="minorHAnsi"/>
          <w:color w:val="auto"/>
          <w:sz w:val="22"/>
          <w:szCs w:val="22"/>
          <w:shd w:val="clear" w:color="auto" w:fill="FFFFFF"/>
        </w:rPr>
        <w:t xml:space="preserve">3 – </w:t>
      </w:r>
      <w:r w:rsidRPr="00163F80" w:rsidR="00163F80">
        <w:rPr>
          <w:rFonts w:asciiTheme="minorHAnsi" w:hAnsiTheme="minorHAnsi" w:cstheme="minorHAnsi"/>
          <w:color w:val="auto"/>
          <w:sz w:val="22"/>
          <w:szCs w:val="22"/>
          <w:shd w:val="clear" w:color="auto" w:fill="FFFFFF"/>
          <w:lang w:val="en-GB"/>
        </w:rPr>
        <w:t>Ensure healthy lives and promote well-being for all at all ages</w:t>
      </w:r>
      <w:r w:rsidRPr="0057179B" w:rsidR="00C15167">
        <w:rPr>
          <w:rFonts w:asciiTheme="minorHAnsi" w:hAnsiTheme="minorHAnsi" w:cstheme="minorHAnsi"/>
          <w:color w:val="auto"/>
          <w:sz w:val="22"/>
          <w:szCs w:val="22"/>
          <w:shd w:val="clear" w:color="auto" w:fill="FFFFFF"/>
        </w:rPr>
        <w:t xml:space="preserve">, </w:t>
      </w:r>
      <w:r w:rsidRPr="0057179B" w:rsidR="00EA2E21">
        <w:rPr>
          <w:rFonts w:asciiTheme="minorHAnsi" w:hAnsiTheme="minorHAnsi" w:cstheme="minorHAnsi"/>
          <w:color w:val="auto"/>
          <w:sz w:val="22"/>
          <w:szCs w:val="22"/>
          <w:shd w:val="clear" w:color="auto" w:fill="FFFFFF"/>
        </w:rPr>
        <w:t xml:space="preserve">5 – </w:t>
      </w:r>
      <w:r w:rsidRPr="004D218F" w:rsidR="004D218F">
        <w:rPr>
          <w:rFonts w:asciiTheme="minorHAnsi" w:hAnsiTheme="minorHAnsi" w:cstheme="minorHAnsi"/>
          <w:color w:val="auto"/>
          <w:sz w:val="22"/>
          <w:szCs w:val="22"/>
          <w:shd w:val="clear" w:color="auto" w:fill="FFFFFF"/>
          <w:lang w:val="en-GB"/>
        </w:rPr>
        <w:t>Achieve gender equality and empower all women and girls</w:t>
      </w:r>
      <w:r w:rsidRPr="0057179B" w:rsidR="00EA2E21">
        <w:rPr>
          <w:rFonts w:asciiTheme="minorHAnsi" w:hAnsiTheme="minorHAnsi" w:cstheme="minorHAnsi"/>
          <w:color w:val="auto"/>
          <w:sz w:val="22"/>
          <w:szCs w:val="22"/>
          <w:shd w:val="clear" w:color="auto" w:fill="FFFFFF"/>
        </w:rPr>
        <w:t xml:space="preserve">, 8 – </w:t>
      </w:r>
      <w:r w:rsidRPr="00A54FD3" w:rsidR="00A54FD3">
        <w:rPr>
          <w:rFonts w:asciiTheme="minorHAnsi" w:hAnsiTheme="minorHAnsi" w:cstheme="minorHAnsi"/>
          <w:color w:val="auto"/>
          <w:sz w:val="22"/>
          <w:szCs w:val="22"/>
          <w:shd w:val="clear" w:color="auto" w:fill="FFFFFF"/>
          <w:lang w:val="en-GB"/>
        </w:rPr>
        <w:t>Promote sustained, inclusive and sustainable economic growth, full and productive employment and decent work for all</w:t>
      </w:r>
      <w:r w:rsidRPr="0057179B" w:rsidR="00EA2E21">
        <w:rPr>
          <w:rFonts w:asciiTheme="minorHAnsi" w:hAnsiTheme="minorHAnsi" w:cstheme="minorHAnsi"/>
          <w:color w:val="auto"/>
          <w:sz w:val="22"/>
          <w:szCs w:val="22"/>
          <w:shd w:val="clear" w:color="auto" w:fill="FFFFFF"/>
        </w:rPr>
        <w:t xml:space="preserve">, 14 – </w:t>
      </w:r>
      <w:r w:rsidRPr="00A54FD3" w:rsidR="00A54FD3">
        <w:rPr>
          <w:rFonts w:asciiTheme="minorHAnsi" w:hAnsiTheme="minorHAnsi" w:cstheme="minorHAnsi"/>
          <w:color w:val="auto"/>
          <w:sz w:val="22"/>
          <w:szCs w:val="22"/>
          <w:shd w:val="clear" w:color="auto" w:fill="FFFFFF"/>
          <w:lang w:val="en-GB"/>
        </w:rPr>
        <w:t>Conserve and sustainably use the oceans, seas and marine resources for sustainable development</w:t>
      </w:r>
      <w:r w:rsidRPr="0057179B" w:rsidR="00EA2E21">
        <w:rPr>
          <w:rFonts w:asciiTheme="minorHAnsi" w:hAnsiTheme="minorHAnsi" w:cstheme="minorHAnsi"/>
          <w:color w:val="auto"/>
          <w:sz w:val="22"/>
          <w:szCs w:val="22"/>
          <w:shd w:val="clear" w:color="auto" w:fill="FFFFFF"/>
        </w:rPr>
        <w:t xml:space="preserve">, </w:t>
      </w:r>
      <w:r w:rsidRPr="0057179B" w:rsidR="00C84A37">
        <w:rPr>
          <w:rFonts w:asciiTheme="minorHAnsi" w:hAnsiTheme="minorHAnsi" w:cstheme="minorHAnsi"/>
          <w:color w:val="auto"/>
          <w:sz w:val="22"/>
          <w:szCs w:val="22"/>
          <w:shd w:val="clear" w:color="auto" w:fill="FFFFFF"/>
        </w:rPr>
        <w:t>and 17 </w:t>
      </w:r>
      <w:r w:rsidRPr="0057179B" w:rsidR="00826B07">
        <w:rPr>
          <w:rFonts w:asciiTheme="minorHAnsi" w:hAnsiTheme="minorHAnsi" w:cstheme="minorHAnsi"/>
          <w:color w:val="auto"/>
          <w:sz w:val="22"/>
          <w:szCs w:val="22"/>
          <w:shd w:val="clear" w:color="auto" w:fill="FFFFFF"/>
        </w:rPr>
        <w:t>–</w:t>
      </w:r>
      <w:r w:rsidR="00826B07">
        <w:rPr>
          <w:rFonts w:asciiTheme="minorHAnsi" w:hAnsiTheme="minorHAnsi" w:cstheme="minorHAnsi"/>
          <w:color w:val="auto"/>
          <w:sz w:val="22"/>
          <w:szCs w:val="22"/>
          <w:shd w:val="clear" w:color="auto" w:fill="FFFFFF"/>
        </w:rPr>
        <w:t xml:space="preserve"> </w:t>
      </w:r>
      <w:r w:rsidRPr="00826B07" w:rsidR="00826B07">
        <w:rPr>
          <w:rFonts w:asciiTheme="minorHAnsi" w:hAnsiTheme="minorHAnsi" w:cstheme="minorHAnsi"/>
          <w:color w:val="auto"/>
          <w:sz w:val="22"/>
          <w:szCs w:val="22"/>
          <w:shd w:val="clear" w:color="auto" w:fill="FFFFFF"/>
          <w:lang w:val="en-GB"/>
        </w:rPr>
        <w:t>Strengthen the means of implementation and revitalize the Global Partnership for Sustainable Development</w:t>
      </w:r>
      <w:r w:rsidRPr="0057179B" w:rsidR="007A2217">
        <w:rPr>
          <w:rFonts w:asciiTheme="minorHAnsi" w:hAnsiTheme="minorHAnsi" w:cstheme="minorHAnsi"/>
          <w:color w:val="auto"/>
          <w:sz w:val="22"/>
          <w:szCs w:val="22"/>
          <w:shd w:val="clear" w:color="auto" w:fill="FFFFFF"/>
        </w:rPr>
        <w:t>.</w:t>
      </w:r>
      <w:r w:rsidRPr="0057179B" w:rsidR="0016713D">
        <w:rPr>
          <w:rFonts w:asciiTheme="minorHAnsi" w:hAnsiTheme="minorHAnsi" w:cstheme="minorHAnsi"/>
          <w:color w:val="auto"/>
          <w:sz w:val="22"/>
          <w:szCs w:val="22"/>
          <w:shd w:val="clear" w:color="auto" w:fill="FFFFFF"/>
        </w:rPr>
        <w:t xml:space="preserve"> </w:t>
      </w:r>
      <w:r w:rsidR="00A0246C">
        <w:rPr>
          <w:rFonts w:asciiTheme="minorHAnsi" w:hAnsiTheme="minorHAnsi" w:cstheme="minorHAnsi"/>
          <w:color w:val="auto"/>
          <w:sz w:val="22"/>
          <w:szCs w:val="22"/>
          <w:shd w:val="clear" w:color="auto" w:fill="FFFFFF"/>
          <w:lang w:val="en-GB"/>
        </w:rPr>
        <w:t>T</w:t>
      </w:r>
      <w:r w:rsidRPr="0057179B" w:rsidR="009522BC">
        <w:rPr>
          <w:rFonts w:asciiTheme="minorHAnsi" w:hAnsiTheme="minorHAnsi" w:cstheme="minorHAnsi"/>
          <w:color w:val="auto"/>
          <w:sz w:val="22"/>
          <w:szCs w:val="22"/>
          <w:shd w:val="clear" w:color="auto" w:fill="FFFFFF"/>
          <w:lang w:val="en-GB"/>
        </w:rPr>
        <w:t xml:space="preserve">he HLPF will </w:t>
      </w:r>
      <w:r w:rsidR="008327CF">
        <w:rPr>
          <w:rFonts w:asciiTheme="minorHAnsi" w:hAnsiTheme="minorHAnsi" w:cstheme="minorHAnsi"/>
          <w:color w:val="auto"/>
          <w:sz w:val="22"/>
          <w:szCs w:val="22"/>
          <w:shd w:val="clear" w:color="auto" w:fill="FFFFFF"/>
          <w:lang w:val="en-GB"/>
        </w:rPr>
        <w:t>provide an opp</w:t>
      </w:r>
      <w:r w:rsidR="00454613">
        <w:rPr>
          <w:rFonts w:asciiTheme="minorHAnsi" w:hAnsiTheme="minorHAnsi" w:cstheme="minorHAnsi"/>
          <w:color w:val="auto"/>
          <w:sz w:val="22"/>
          <w:szCs w:val="22"/>
          <w:shd w:val="clear" w:color="auto" w:fill="FFFFFF"/>
          <w:lang w:val="en-GB"/>
        </w:rPr>
        <w:t>ortunity to assess progress on these goals</w:t>
      </w:r>
      <w:r w:rsidR="00A76D29">
        <w:rPr>
          <w:rFonts w:asciiTheme="minorHAnsi" w:hAnsiTheme="minorHAnsi" w:cstheme="minorHAnsi"/>
          <w:color w:val="auto"/>
          <w:sz w:val="22"/>
          <w:szCs w:val="22"/>
          <w:shd w:val="clear" w:color="auto" w:fill="FFFFFF"/>
          <w:lang w:val="en-GB"/>
        </w:rPr>
        <w:t xml:space="preserve"> </w:t>
      </w:r>
      <w:r w:rsidR="00F23E00">
        <w:rPr>
          <w:rFonts w:asciiTheme="minorHAnsi" w:hAnsiTheme="minorHAnsi" w:cstheme="minorHAnsi"/>
          <w:color w:val="auto"/>
          <w:sz w:val="22"/>
          <w:szCs w:val="22"/>
          <w:shd w:val="clear" w:color="auto" w:fill="FFFFFF"/>
          <w:lang w:val="en-GB"/>
        </w:rPr>
        <w:t>at the 10</w:t>
      </w:r>
      <w:r w:rsidRPr="00D43F10" w:rsidR="00F23E00">
        <w:rPr>
          <w:rFonts w:asciiTheme="minorHAnsi" w:hAnsiTheme="minorHAnsi" w:cstheme="minorHAnsi"/>
          <w:color w:val="auto"/>
          <w:sz w:val="22"/>
          <w:szCs w:val="22"/>
          <w:shd w:val="clear" w:color="auto" w:fill="FFFFFF"/>
          <w:vertAlign w:val="superscript"/>
          <w:lang w:val="en-GB"/>
        </w:rPr>
        <w:t>th</w:t>
      </w:r>
      <w:r w:rsidR="00F23E00">
        <w:rPr>
          <w:rFonts w:asciiTheme="minorHAnsi" w:hAnsiTheme="minorHAnsi" w:cstheme="minorHAnsi"/>
          <w:color w:val="auto"/>
          <w:sz w:val="22"/>
          <w:szCs w:val="22"/>
          <w:shd w:val="clear" w:color="auto" w:fill="FFFFFF"/>
          <w:lang w:val="en-GB"/>
        </w:rPr>
        <w:t xml:space="preserve"> anniversary of the </w:t>
      </w:r>
      <w:r w:rsidR="001A1516">
        <w:rPr>
          <w:rFonts w:asciiTheme="minorHAnsi" w:hAnsiTheme="minorHAnsi" w:cstheme="minorHAnsi"/>
          <w:color w:val="auto"/>
          <w:sz w:val="22"/>
          <w:szCs w:val="22"/>
          <w:shd w:val="clear" w:color="auto" w:fill="FFFFFF"/>
          <w:lang w:val="en-GB"/>
        </w:rPr>
        <w:t xml:space="preserve">adoption of the 2030 Agenda, </w:t>
      </w:r>
      <w:r w:rsidR="00A76D29">
        <w:rPr>
          <w:rFonts w:asciiTheme="minorHAnsi" w:hAnsiTheme="minorHAnsi" w:cstheme="minorHAnsi"/>
          <w:color w:val="auto"/>
          <w:sz w:val="22"/>
          <w:szCs w:val="22"/>
          <w:shd w:val="clear" w:color="auto" w:fill="FFFFFF"/>
          <w:lang w:val="en-GB"/>
        </w:rPr>
        <w:t>and</w:t>
      </w:r>
      <w:r w:rsidR="00454613">
        <w:rPr>
          <w:rFonts w:asciiTheme="minorHAnsi" w:hAnsiTheme="minorHAnsi" w:cstheme="minorHAnsi"/>
          <w:color w:val="auto"/>
          <w:sz w:val="22"/>
          <w:szCs w:val="22"/>
          <w:shd w:val="clear" w:color="auto" w:fill="FFFFFF"/>
          <w:lang w:val="en-GB"/>
        </w:rPr>
        <w:t xml:space="preserve"> </w:t>
      </w:r>
      <w:r w:rsidR="00A76D29">
        <w:rPr>
          <w:rFonts w:asciiTheme="minorHAnsi" w:hAnsiTheme="minorHAnsi" w:cstheme="minorHAnsi"/>
          <w:color w:val="auto"/>
          <w:sz w:val="22"/>
          <w:szCs w:val="22"/>
          <w:shd w:val="clear" w:color="auto" w:fill="FFFFFF"/>
          <w:lang w:val="en-GB"/>
        </w:rPr>
        <w:t xml:space="preserve">to identify what can be done </w:t>
      </w:r>
      <w:r w:rsidR="001A1516">
        <w:rPr>
          <w:rFonts w:asciiTheme="minorHAnsi" w:hAnsiTheme="minorHAnsi" w:cstheme="minorHAnsi"/>
          <w:color w:val="auto"/>
          <w:sz w:val="22"/>
          <w:szCs w:val="22"/>
          <w:shd w:val="clear" w:color="auto" w:fill="FFFFFF"/>
          <w:lang w:val="en-GB"/>
        </w:rPr>
        <w:t xml:space="preserve">to radically accelerate progress on SDG implementation </w:t>
      </w:r>
      <w:r w:rsidR="00A76D29">
        <w:rPr>
          <w:rFonts w:asciiTheme="minorHAnsi" w:hAnsiTheme="minorHAnsi" w:cstheme="minorHAnsi"/>
          <w:color w:val="auto"/>
          <w:sz w:val="22"/>
          <w:szCs w:val="22"/>
          <w:shd w:val="clear" w:color="auto" w:fill="FFFFFF"/>
          <w:lang w:val="en-GB"/>
        </w:rPr>
        <w:t xml:space="preserve">in the remaining </w:t>
      </w:r>
      <w:r w:rsidR="00826B07">
        <w:rPr>
          <w:rFonts w:asciiTheme="minorHAnsi" w:hAnsiTheme="minorHAnsi" w:cstheme="minorHAnsi"/>
          <w:color w:val="auto"/>
          <w:sz w:val="22"/>
          <w:szCs w:val="22"/>
          <w:shd w:val="clear" w:color="auto" w:fill="FFFFFF"/>
          <w:lang w:val="en-GB"/>
        </w:rPr>
        <w:t xml:space="preserve">five </w:t>
      </w:r>
      <w:r w:rsidR="00A76D29">
        <w:rPr>
          <w:rFonts w:asciiTheme="minorHAnsi" w:hAnsiTheme="minorHAnsi" w:cstheme="minorHAnsi"/>
          <w:color w:val="auto"/>
          <w:sz w:val="22"/>
          <w:szCs w:val="22"/>
          <w:shd w:val="clear" w:color="auto" w:fill="FFFFFF"/>
          <w:lang w:val="en-GB"/>
        </w:rPr>
        <w:t>years</w:t>
      </w:r>
      <w:r w:rsidR="00D96128">
        <w:rPr>
          <w:rFonts w:asciiTheme="minorHAnsi" w:hAnsiTheme="minorHAnsi" w:cstheme="minorHAnsi"/>
          <w:color w:val="auto"/>
          <w:sz w:val="22"/>
          <w:szCs w:val="22"/>
          <w:shd w:val="clear" w:color="auto" w:fill="FFFFFF"/>
          <w:lang w:val="en-GB"/>
        </w:rPr>
        <w:t xml:space="preserve">, </w:t>
      </w:r>
      <w:r w:rsidRPr="0057179B" w:rsidR="009522BC">
        <w:rPr>
          <w:rFonts w:asciiTheme="minorHAnsi" w:hAnsiTheme="minorHAnsi" w:cstheme="minorHAnsi"/>
          <w:color w:val="auto"/>
          <w:sz w:val="22"/>
          <w:szCs w:val="22"/>
          <w:shd w:val="clear" w:color="auto" w:fill="FFFFFF"/>
          <w:lang w:val="en-GB"/>
        </w:rPr>
        <w:t xml:space="preserve">connecting with other intergovernmental processes such as </w:t>
      </w:r>
      <w:r w:rsidR="005C668B">
        <w:rPr>
          <w:rFonts w:asciiTheme="minorHAnsi" w:hAnsiTheme="minorHAnsi" w:cstheme="minorHAnsi"/>
          <w:color w:val="auto"/>
          <w:sz w:val="22"/>
          <w:szCs w:val="22"/>
          <w:shd w:val="clear" w:color="auto" w:fill="FFFFFF"/>
          <w:lang w:val="en-GB"/>
        </w:rPr>
        <w:t xml:space="preserve">the </w:t>
      </w:r>
      <w:r w:rsidR="00247948">
        <w:rPr>
          <w:rFonts w:asciiTheme="minorHAnsi" w:hAnsiTheme="minorHAnsi" w:cstheme="minorHAnsi"/>
          <w:color w:val="auto"/>
          <w:sz w:val="22"/>
          <w:szCs w:val="22"/>
          <w:shd w:val="clear" w:color="auto" w:fill="FFFFFF"/>
          <w:lang w:val="en-GB"/>
        </w:rPr>
        <w:t>3</w:t>
      </w:r>
      <w:r w:rsidRPr="00D43F10" w:rsidR="00247948">
        <w:rPr>
          <w:rFonts w:asciiTheme="minorHAnsi" w:hAnsiTheme="minorHAnsi" w:cstheme="minorHAnsi"/>
          <w:color w:val="auto"/>
          <w:sz w:val="22"/>
          <w:szCs w:val="22"/>
          <w:shd w:val="clear" w:color="auto" w:fill="FFFFFF"/>
          <w:vertAlign w:val="superscript"/>
          <w:lang w:val="en-GB"/>
        </w:rPr>
        <w:t>rd</w:t>
      </w:r>
      <w:r w:rsidR="00247948">
        <w:rPr>
          <w:rFonts w:asciiTheme="minorHAnsi" w:hAnsiTheme="minorHAnsi" w:cstheme="minorHAnsi"/>
          <w:color w:val="auto"/>
          <w:sz w:val="22"/>
          <w:szCs w:val="22"/>
          <w:shd w:val="clear" w:color="auto" w:fill="FFFFFF"/>
          <w:lang w:val="en-GB"/>
        </w:rPr>
        <w:t xml:space="preserve"> </w:t>
      </w:r>
      <w:r w:rsidR="00006DD5">
        <w:rPr>
          <w:rFonts w:asciiTheme="minorHAnsi" w:hAnsiTheme="minorHAnsi" w:cstheme="minorHAnsi"/>
          <w:color w:val="auto"/>
          <w:sz w:val="22"/>
          <w:szCs w:val="22"/>
          <w:shd w:val="clear" w:color="auto" w:fill="FFFFFF"/>
          <w:lang w:val="en-GB"/>
        </w:rPr>
        <w:t xml:space="preserve">UN Ocean Conference, </w:t>
      </w:r>
      <w:r w:rsidR="00E80179">
        <w:rPr>
          <w:rFonts w:asciiTheme="minorHAnsi" w:hAnsiTheme="minorHAnsi" w:cstheme="minorHAnsi"/>
          <w:color w:val="auto"/>
          <w:sz w:val="22"/>
          <w:szCs w:val="22"/>
          <w:shd w:val="clear" w:color="auto" w:fill="FFFFFF"/>
          <w:lang w:val="en-GB"/>
        </w:rPr>
        <w:t xml:space="preserve">the </w:t>
      </w:r>
      <w:r w:rsidR="005C668B">
        <w:rPr>
          <w:rFonts w:asciiTheme="minorHAnsi" w:hAnsiTheme="minorHAnsi" w:cstheme="minorHAnsi"/>
          <w:color w:val="auto"/>
          <w:sz w:val="22"/>
          <w:szCs w:val="22"/>
          <w:shd w:val="clear" w:color="auto" w:fill="FFFFFF"/>
          <w:lang w:val="en-GB"/>
        </w:rPr>
        <w:t>4</w:t>
      </w:r>
      <w:r w:rsidRPr="005C668B" w:rsidR="005C668B">
        <w:rPr>
          <w:rFonts w:asciiTheme="minorHAnsi" w:hAnsiTheme="minorHAnsi" w:cstheme="minorHAnsi"/>
          <w:color w:val="auto"/>
          <w:sz w:val="22"/>
          <w:szCs w:val="22"/>
          <w:shd w:val="clear" w:color="auto" w:fill="FFFFFF"/>
          <w:vertAlign w:val="superscript"/>
          <w:lang w:val="en-GB"/>
        </w:rPr>
        <w:t>th</w:t>
      </w:r>
      <w:r w:rsidR="005C668B">
        <w:rPr>
          <w:rFonts w:asciiTheme="minorHAnsi" w:hAnsiTheme="minorHAnsi" w:cstheme="minorHAnsi"/>
          <w:color w:val="auto"/>
          <w:sz w:val="22"/>
          <w:szCs w:val="22"/>
          <w:shd w:val="clear" w:color="auto" w:fill="FFFFFF"/>
          <w:lang w:val="en-GB"/>
        </w:rPr>
        <w:t xml:space="preserve"> </w:t>
      </w:r>
      <w:r w:rsidR="00D328F1">
        <w:rPr>
          <w:rFonts w:asciiTheme="minorHAnsi" w:hAnsiTheme="minorHAnsi" w:cstheme="minorHAnsi"/>
          <w:color w:val="auto"/>
          <w:sz w:val="22"/>
          <w:szCs w:val="22"/>
          <w:shd w:val="clear" w:color="auto" w:fill="FFFFFF"/>
          <w:lang w:val="en-GB"/>
        </w:rPr>
        <w:t xml:space="preserve">International Conference on </w:t>
      </w:r>
      <w:r w:rsidR="005C668B">
        <w:rPr>
          <w:rFonts w:asciiTheme="minorHAnsi" w:hAnsiTheme="minorHAnsi" w:cstheme="minorHAnsi"/>
          <w:color w:val="auto"/>
          <w:sz w:val="22"/>
          <w:szCs w:val="22"/>
          <w:shd w:val="clear" w:color="auto" w:fill="FFFFFF"/>
          <w:lang w:val="en-GB"/>
        </w:rPr>
        <w:t>Financing for Development (</w:t>
      </w:r>
      <w:r w:rsidRPr="0057179B" w:rsidR="001521E7">
        <w:rPr>
          <w:rFonts w:asciiTheme="minorHAnsi" w:hAnsiTheme="minorHAnsi" w:cstheme="minorHAnsi"/>
          <w:color w:val="auto"/>
          <w:sz w:val="22"/>
          <w:szCs w:val="22"/>
          <w:shd w:val="clear" w:color="auto" w:fill="FFFFFF"/>
          <w:lang w:val="en-GB"/>
        </w:rPr>
        <w:t>F</w:t>
      </w:r>
      <w:r w:rsidR="001521E7">
        <w:rPr>
          <w:rFonts w:asciiTheme="minorHAnsi" w:hAnsiTheme="minorHAnsi" w:cstheme="minorHAnsi"/>
          <w:color w:val="auto"/>
          <w:sz w:val="22"/>
          <w:szCs w:val="22"/>
          <w:shd w:val="clear" w:color="auto" w:fill="FFFFFF"/>
          <w:lang w:val="en-GB"/>
        </w:rPr>
        <w:t>f</w:t>
      </w:r>
      <w:r w:rsidRPr="0057179B" w:rsidR="001521E7">
        <w:rPr>
          <w:rFonts w:asciiTheme="minorHAnsi" w:hAnsiTheme="minorHAnsi" w:cstheme="minorHAnsi"/>
          <w:color w:val="auto"/>
          <w:sz w:val="22"/>
          <w:szCs w:val="22"/>
          <w:shd w:val="clear" w:color="auto" w:fill="FFFFFF"/>
          <w:lang w:val="en-GB"/>
        </w:rPr>
        <w:t>D4</w:t>
      </w:r>
      <w:r w:rsidR="005C668B">
        <w:rPr>
          <w:rFonts w:asciiTheme="minorHAnsi" w:hAnsiTheme="minorHAnsi" w:cstheme="minorHAnsi"/>
          <w:color w:val="auto"/>
          <w:sz w:val="22"/>
          <w:szCs w:val="22"/>
          <w:shd w:val="clear" w:color="auto" w:fill="FFFFFF"/>
          <w:lang w:val="en-GB"/>
        </w:rPr>
        <w:t>)</w:t>
      </w:r>
      <w:r w:rsidRPr="0057179B" w:rsidR="009522BC">
        <w:rPr>
          <w:rFonts w:asciiTheme="minorHAnsi" w:hAnsiTheme="minorHAnsi" w:cstheme="minorHAnsi"/>
          <w:color w:val="auto"/>
          <w:sz w:val="22"/>
          <w:szCs w:val="22"/>
          <w:shd w:val="clear" w:color="auto" w:fill="FFFFFF"/>
          <w:lang w:val="en-GB"/>
        </w:rPr>
        <w:t>, the Second World Summit</w:t>
      </w:r>
      <w:r w:rsidR="00E80179">
        <w:rPr>
          <w:rFonts w:asciiTheme="minorHAnsi" w:hAnsiTheme="minorHAnsi" w:cstheme="minorHAnsi"/>
          <w:color w:val="auto"/>
          <w:sz w:val="22"/>
          <w:szCs w:val="22"/>
          <w:shd w:val="clear" w:color="auto" w:fill="FFFFFF"/>
          <w:lang w:val="en-GB"/>
        </w:rPr>
        <w:t xml:space="preserve"> for Social Development</w:t>
      </w:r>
      <w:r w:rsidRPr="0057179B" w:rsidR="009522BC">
        <w:rPr>
          <w:rFonts w:asciiTheme="minorHAnsi" w:hAnsiTheme="minorHAnsi" w:cstheme="minorHAnsi"/>
          <w:color w:val="auto"/>
          <w:sz w:val="22"/>
          <w:szCs w:val="22"/>
          <w:shd w:val="clear" w:color="auto" w:fill="FFFFFF"/>
          <w:lang w:val="en-GB"/>
        </w:rPr>
        <w:t xml:space="preserve">, </w:t>
      </w:r>
      <w:r w:rsidR="00A0246C">
        <w:rPr>
          <w:rFonts w:asciiTheme="minorHAnsi" w:hAnsiTheme="minorHAnsi" w:cstheme="minorHAnsi"/>
          <w:color w:val="auto"/>
          <w:sz w:val="22"/>
          <w:szCs w:val="22"/>
          <w:shd w:val="clear" w:color="auto" w:fill="FFFFFF"/>
          <w:lang w:val="en-GB"/>
        </w:rPr>
        <w:t>and</w:t>
      </w:r>
      <w:r w:rsidR="00327BE7">
        <w:rPr>
          <w:rFonts w:asciiTheme="minorHAnsi" w:hAnsiTheme="minorHAnsi" w:cstheme="minorHAnsi"/>
          <w:color w:val="auto"/>
          <w:sz w:val="22"/>
          <w:szCs w:val="22"/>
          <w:shd w:val="clear" w:color="auto" w:fill="FFFFFF"/>
          <w:lang w:val="en-GB"/>
        </w:rPr>
        <w:t xml:space="preserve"> the</w:t>
      </w:r>
      <w:r w:rsidR="00A0246C">
        <w:rPr>
          <w:rFonts w:asciiTheme="minorHAnsi" w:hAnsiTheme="minorHAnsi" w:cstheme="minorHAnsi"/>
          <w:color w:val="auto"/>
          <w:sz w:val="22"/>
          <w:szCs w:val="22"/>
          <w:shd w:val="clear" w:color="auto" w:fill="FFFFFF"/>
          <w:lang w:val="en-GB"/>
        </w:rPr>
        <w:t xml:space="preserve"> </w:t>
      </w:r>
      <w:r w:rsidRPr="00327BE7" w:rsidR="00327BE7">
        <w:rPr>
          <w:rFonts w:asciiTheme="minorHAnsi" w:hAnsiTheme="minorHAnsi" w:cstheme="minorHAnsi"/>
          <w:color w:val="auto"/>
          <w:sz w:val="22"/>
          <w:szCs w:val="22"/>
          <w:shd w:val="clear" w:color="auto" w:fill="FFFFFF"/>
          <w:lang w:val="en-GB"/>
        </w:rPr>
        <w:t xml:space="preserve">30th anniversary of </w:t>
      </w:r>
      <w:r w:rsidR="00327BE7">
        <w:rPr>
          <w:rFonts w:asciiTheme="minorHAnsi" w:hAnsiTheme="minorHAnsi" w:cstheme="minorHAnsi"/>
          <w:color w:val="auto"/>
          <w:sz w:val="22"/>
          <w:szCs w:val="22"/>
          <w:shd w:val="clear" w:color="auto" w:fill="FFFFFF"/>
          <w:lang w:val="en-GB"/>
        </w:rPr>
        <w:t xml:space="preserve">the </w:t>
      </w:r>
      <w:r w:rsidRPr="00327BE7" w:rsidR="00327BE7">
        <w:rPr>
          <w:rFonts w:asciiTheme="minorHAnsi" w:hAnsiTheme="minorHAnsi" w:cstheme="minorHAnsi"/>
          <w:color w:val="auto"/>
          <w:sz w:val="22"/>
          <w:szCs w:val="22"/>
          <w:shd w:val="clear" w:color="auto" w:fill="FFFFFF"/>
          <w:lang w:val="en-GB"/>
        </w:rPr>
        <w:t>Beijing Platform for Action</w:t>
      </w:r>
      <w:r w:rsidR="00327BE7">
        <w:rPr>
          <w:rFonts w:asciiTheme="minorHAnsi" w:hAnsiTheme="minorHAnsi" w:cstheme="minorHAnsi"/>
          <w:color w:val="auto"/>
          <w:sz w:val="22"/>
          <w:szCs w:val="22"/>
          <w:shd w:val="clear" w:color="auto" w:fill="FFFFFF"/>
          <w:lang w:val="en-GB"/>
        </w:rPr>
        <w:t xml:space="preserve"> (</w:t>
      </w:r>
      <w:r w:rsidRPr="0057179B" w:rsidR="009522BC">
        <w:rPr>
          <w:rFonts w:asciiTheme="minorHAnsi" w:hAnsiTheme="minorHAnsi" w:cstheme="minorHAnsi"/>
          <w:color w:val="auto"/>
          <w:sz w:val="22"/>
          <w:szCs w:val="22"/>
          <w:shd w:val="clear" w:color="auto" w:fill="FFFFFF"/>
          <w:lang w:val="en-GB"/>
        </w:rPr>
        <w:t>Beijing+30</w:t>
      </w:r>
      <w:r w:rsidR="00327BE7">
        <w:rPr>
          <w:rFonts w:asciiTheme="minorHAnsi" w:hAnsiTheme="minorHAnsi" w:cstheme="minorHAnsi"/>
          <w:color w:val="auto"/>
          <w:sz w:val="22"/>
          <w:szCs w:val="22"/>
          <w:shd w:val="clear" w:color="auto" w:fill="FFFFFF"/>
          <w:lang w:val="en-GB"/>
        </w:rPr>
        <w:t>)</w:t>
      </w:r>
      <w:r w:rsidR="00A0246C">
        <w:rPr>
          <w:rFonts w:asciiTheme="minorHAnsi" w:hAnsiTheme="minorHAnsi" w:cstheme="minorHAnsi"/>
          <w:color w:val="auto"/>
          <w:sz w:val="22"/>
          <w:szCs w:val="22"/>
          <w:shd w:val="clear" w:color="auto" w:fill="FFFFFF"/>
          <w:lang w:val="en-GB"/>
        </w:rPr>
        <w:t>.</w:t>
      </w:r>
    </w:p>
    <w:p w:rsidRPr="007D3621" w:rsidR="00157587" w:rsidP="6E936818" w:rsidRDefault="0016713D" w14:paraId="45CBC2A5" w14:textId="192E631A" w14:noSpellErr="1">
      <w:pPr>
        <w:pStyle w:val="Default"/>
        <w:spacing w:after="120" w:line="259" w:lineRule="auto"/>
        <w:rPr>
          <w:rFonts w:ascii="Calibri" w:hAnsi="Calibri" w:cs="Calibri" w:asciiTheme="minorAscii" w:hAnsiTheme="minorAscii" w:cstheme="minorAscii"/>
          <w:sz w:val="22"/>
          <w:szCs w:val="22"/>
          <w:lang w:val="en-GB"/>
        </w:rPr>
      </w:pPr>
      <w:r w:rsidRPr="6E936818" w:rsidR="0016713D">
        <w:rPr>
          <w:rFonts w:ascii="Calibri" w:hAnsi="Calibri" w:cs="Calibri" w:asciiTheme="minorAscii" w:hAnsiTheme="minorAscii" w:cstheme="minorAscii"/>
          <w:color w:val="auto"/>
          <w:sz w:val="22"/>
          <w:szCs w:val="22"/>
          <w:shd w:val="clear" w:color="auto" w:fill="FFFFFF"/>
          <w:lang w:val="en-GB"/>
        </w:rPr>
        <w:t>At the 202</w:t>
      </w:r>
      <w:r w:rsidRPr="6E936818" w:rsidR="0057179B">
        <w:rPr>
          <w:rFonts w:ascii="Calibri" w:hAnsi="Calibri" w:cs="Calibri" w:asciiTheme="minorAscii" w:hAnsiTheme="minorAscii" w:cstheme="minorAscii"/>
          <w:color w:val="auto"/>
          <w:sz w:val="22"/>
          <w:szCs w:val="22"/>
          <w:shd w:val="clear" w:color="auto" w:fill="FFFFFF"/>
          <w:lang w:val="en-GB"/>
        </w:rPr>
        <w:t>5</w:t>
      </w:r>
      <w:r w:rsidRPr="6E936818" w:rsidR="0016713D">
        <w:rPr>
          <w:rFonts w:ascii="Calibri" w:hAnsi="Calibri" w:cs="Calibri" w:asciiTheme="minorAscii" w:hAnsiTheme="minorAscii" w:cstheme="minorAscii"/>
          <w:color w:val="auto"/>
          <w:sz w:val="22"/>
          <w:szCs w:val="22"/>
          <w:shd w:val="clear" w:color="auto" w:fill="FFFFFF"/>
          <w:lang w:val="en-GB"/>
        </w:rPr>
        <w:t xml:space="preserve"> HLPF, there will be an opportunity to build on the promise</w:t>
      </w:r>
      <w:r w:rsidRPr="6E936818" w:rsidR="000F2AE0">
        <w:rPr>
          <w:rFonts w:ascii="Calibri" w:hAnsi="Calibri" w:cs="Calibri" w:asciiTheme="minorAscii" w:hAnsiTheme="minorAscii" w:cstheme="minorAscii"/>
          <w:color w:val="auto"/>
          <w:sz w:val="22"/>
          <w:szCs w:val="22"/>
          <w:shd w:val="clear" w:color="auto" w:fill="FFFFFF"/>
          <w:lang w:val="en-GB"/>
        </w:rPr>
        <w:t>s</w:t>
      </w:r>
      <w:r w:rsidRPr="6E936818" w:rsidR="0016713D">
        <w:rPr>
          <w:rFonts w:ascii="Calibri" w:hAnsi="Calibri" w:cs="Calibri" w:asciiTheme="minorAscii" w:hAnsiTheme="minorAscii" w:cstheme="minorAscii"/>
          <w:color w:val="auto"/>
          <w:sz w:val="22"/>
          <w:szCs w:val="22"/>
          <w:shd w:val="clear" w:color="auto" w:fill="FFFFFF"/>
          <w:lang w:val="en-GB"/>
        </w:rPr>
        <w:t xml:space="preserve"> of the </w:t>
      </w:r>
      <w:r w:rsidRPr="6E936818" w:rsidR="001A1516">
        <w:rPr>
          <w:rFonts w:ascii="Calibri" w:hAnsi="Calibri" w:cs="Calibri" w:asciiTheme="minorAscii" w:hAnsiTheme="minorAscii" w:cstheme="minorAscii"/>
          <w:color w:val="auto"/>
          <w:sz w:val="22"/>
          <w:szCs w:val="22"/>
          <w:shd w:val="clear" w:color="auto" w:fill="FFFFFF"/>
          <w:lang w:val="en-GB"/>
        </w:rPr>
        <w:t xml:space="preserve">2023 </w:t>
      </w:r>
      <w:r w:rsidRPr="6E936818" w:rsidR="0016713D">
        <w:rPr>
          <w:rFonts w:ascii="Calibri" w:hAnsi="Calibri" w:cs="Calibri" w:asciiTheme="minorAscii" w:hAnsiTheme="minorAscii" w:cstheme="minorAscii"/>
          <w:color w:val="auto"/>
          <w:sz w:val="22"/>
          <w:szCs w:val="22"/>
          <w:shd w:val="clear" w:color="auto" w:fill="FFFFFF"/>
          <w:lang w:val="en-GB"/>
        </w:rPr>
        <w:t>SDG Summit 2023</w:t>
      </w:r>
      <w:r w:rsidRPr="6E936818" w:rsidR="000F2AE0">
        <w:rPr>
          <w:rFonts w:ascii="Calibri" w:hAnsi="Calibri" w:cs="Calibri" w:asciiTheme="minorAscii" w:hAnsiTheme="minorAscii" w:cstheme="minorAscii"/>
          <w:color w:val="auto"/>
          <w:sz w:val="22"/>
          <w:szCs w:val="22"/>
          <w:shd w:val="clear" w:color="auto" w:fill="FFFFFF"/>
          <w:lang w:val="en-GB"/>
        </w:rPr>
        <w:t xml:space="preserve"> and the Pact for the Future</w:t>
      </w:r>
      <w:r w:rsidRPr="6E936818" w:rsidR="0062400D">
        <w:rPr>
          <w:rFonts w:ascii="Calibri" w:hAnsi="Calibri" w:cs="Calibri" w:asciiTheme="minorAscii" w:hAnsiTheme="minorAscii" w:cstheme="minorAscii"/>
          <w:color w:val="auto"/>
          <w:sz w:val="22"/>
          <w:szCs w:val="22"/>
          <w:shd w:val="clear" w:color="auto" w:fill="FFFFFF"/>
          <w:lang w:val="en-GB"/>
        </w:rPr>
        <w:t xml:space="preserve"> </w:t>
      </w:r>
      <w:r w:rsidRPr="6E936818" w:rsidR="001A1516">
        <w:rPr>
          <w:rFonts w:ascii="Calibri" w:hAnsi="Calibri" w:cs="Calibri" w:asciiTheme="minorAscii" w:hAnsiTheme="minorAscii" w:cstheme="minorAscii"/>
          <w:color w:val="auto"/>
          <w:sz w:val="22"/>
          <w:szCs w:val="22"/>
          <w:shd w:val="clear" w:color="auto" w:fill="FFFFFF"/>
          <w:lang w:val="en-GB"/>
        </w:rPr>
        <w:t xml:space="preserve">agreed in </w:t>
      </w:r>
      <w:r w:rsidRPr="6E936818" w:rsidR="00A0246C">
        <w:rPr>
          <w:rFonts w:ascii="Calibri" w:hAnsi="Calibri" w:cs="Calibri" w:asciiTheme="minorAscii" w:hAnsiTheme="minorAscii" w:cstheme="minorAscii"/>
          <w:color w:val="auto"/>
          <w:sz w:val="22"/>
          <w:szCs w:val="22"/>
          <w:shd w:val="clear" w:color="auto" w:fill="FFFFFF"/>
          <w:lang w:val="en-GB"/>
        </w:rPr>
        <w:t>2024</w:t>
      </w:r>
      <w:r w:rsidRPr="6E936818" w:rsidR="001A1516">
        <w:rPr>
          <w:rFonts w:ascii="Calibri" w:hAnsi="Calibri" w:cs="Calibri" w:asciiTheme="minorAscii" w:hAnsiTheme="minorAscii" w:cstheme="minorAscii"/>
          <w:color w:val="auto"/>
          <w:sz w:val="22"/>
          <w:szCs w:val="22"/>
          <w:shd w:val="clear" w:color="auto" w:fill="FFFFFF"/>
          <w:lang w:val="en-GB"/>
        </w:rPr>
        <w:t>,</w:t>
      </w:r>
      <w:r w:rsidRPr="6E936818" w:rsidR="00A0246C">
        <w:rPr>
          <w:rFonts w:ascii="Calibri" w:hAnsi="Calibri" w:cs="Calibri" w:asciiTheme="minorAscii" w:hAnsiTheme="minorAscii" w:cstheme="minorAscii"/>
          <w:color w:val="auto"/>
          <w:sz w:val="22"/>
          <w:szCs w:val="22"/>
          <w:shd w:val="clear" w:color="auto" w:fill="FFFFFF"/>
          <w:lang w:val="en-GB"/>
        </w:rPr>
        <w:t xml:space="preserve"> </w:t>
      </w:r>
      <w:r w:rsidRPr="6E936818" w:rsidR="0062400D">
        <w:rPr>
          <w:rFonts w:ascii="Calibri" w:hAnsi="Calibri" w:cs="Calibri" w:asciiTheme="minorAscii" w:hAnsiTheme="minorAscii" w:cstheme="minorAscii"/>
          <w:color w:val="auto"/>
          <w:sz w:val="22"/>
          <w:szCs w:val="22"/>
          <w:shd w:val="clear" w:color="auto" w:fill="FFFFFF"/>
          <w:lang w:val="en-GB"/>
        </w:rPr>
        <w:t>and</w:t>
      </w:r>
      <w:r w:rsidRPr="6E936818" w:rsidR="0062400D">
        <w:rPr>
          <w:rFonts w:ascii="Calibri" w:hAnsi="Calibri" w:cs="Calibri" w:asciiTheme="minorAscii" w:hAnsiTheme="minorAscii" w:cstheme="minorAscii"/>
          <w:color w:val="auto"/>
          <w:sz w:val="22"/>
          <w:szCs w:val="22"/>
          <w:shd w:val="clear" w:color="auto" w:fill="FFFFFF"/>
          <w:lang w:val="en-GB"/>
        </w:rPr>
        <w:t xml:space="preserve"> find ways to </w:t>
      </w:r>
      <w:r w:rsidRPr="6E936818" w:rsidR="001A1516">
        <w:rPr>
          <w:rFonts w:ascii="Calibri" w:hAnsi="Calibri" w:cs="Calibri" w:asciiTheme="minorAscii" w:hAnsiTheme="minorAscii" w:cstheme="minorAscii"/>
          <w:color w:val="auto"/>
          <w:sz w:val="22"/>
          <w:szCs w:val="22"/>
          <w:shd w:val="clear" w:color="auto" w:fill="FFFFFF"/>
          <w:lang w:val="en-GB"/>
        </w:rPr>
        <w:t xml:space="preserve">turbocharge </w:t>
      </w:r>
      <w:r w:rsidRPr="6E936818" w:rsidR="0062400D">
        <w:rPr>
          <w:rFonts w:ascii="Calibri" w:hAnsi="Calibri" w:cs="Calibri" w:asciiTheme="minorAscii" w:hAnsiTheme="minorAscii" w:cstheme="minorAscii"/>
          <w:color w:val="auto"/>
          <w:sz w:val="22"/>
          <w:szCs w:val="22"/>
          <w:shd w:val="clear" w:color="auto" w:fill="FFFFFF"/>
          <w:lang w:val="en-GB"/>
        </w:rPr>
        <w:t>deliver on the SDGs</w:t>
      </w:r>
      <w:r w:rsidRPr="6E936818" w:rsidR="0016713D">
        <w:rPr>
          <w:rFonts w:ascii="Calibri" w:hAnsi="Calibri" w:cs="Calibri" w:asciiTheme="minorAscii" w:hAnsiTheme="minorAscii" w:cstheme="minorAscii"/>
          <w:color w:val="auto"/>
          <w:sz w:val="22"/>
          <w:szCs w:val="22"/>
          <w:shd w:val="clear" w:color="auto" w:fill="FFFFFF"/>
          <w:lang w:val="en-GB"/>
        </w:rPr>
        <w:t xml:space="preserve">. </w:t>
      </w:r>
      <w:r w:rsidRPr="6E936818" w:rsidR="0016713D">
        <w:rPr>
          <w:rFonts w:ascii="Calibri" w:hAnsi="Calibri" w:cs="Calibri" w:asciiTheme="minorAscii" w:hAnsiTheme="minorAscii" w:cstheme="minorAscii"/>
          <w:sz w:val="22"/>
          <w:szCs w:val="22"/>
          <w:lang w:val="en-GB"/>
        </w:rPr>
        <w:t xml:space="preserve">It </w:t>
      </w:r>
      <w:r w:rsidRPr="6E936818" w:rsidR="00F37FE0">
        <w:rPr>
          <w:rFonts w:ascii="Calibri" w:hAnsi="Calibri" w:cs="Calibri" w:asciiTheme="minorAscii" w:hAnsiTheme="minorAscii" w:cstheme="minorAscii"/>
          <w:sz w:val="22"/>
          <w:szCs w:val="22"/>
          <w:lang w:val="en-GB"/>
        </w:rPr>
        <w:t xml:space="preserve">is envisioned as an opportunity to promote </w:t>
      </w:r>
      <w:r w:rsidRPr="6E936818" w:rsidR="00B9423F">
        <w:rPr>
          <w:rFonts w:ascii="Calibri" w:hAnsi="Calibri" w:cs="Calibri" w:asciiTheme="minorAscii" w:hAnsiTheme="minorAscii" w:cstheme="minorAscii"/>
          <w:sz w:val="22"/>
          <w:szCs w:val="22"/>
          <w:lang w:val="en-GB"/>
        </w:rPr>
        <w:t>science</w:t>
      </w:r>
      <w:r w:rsidRPr="6E936818" w:rsidR="00187C53">
        <w:rPr>
          <w:rFonts w:ascii="Calibri" w:hAnsi="Calibri" w:cs="Calibri" w:asciiTheme="minorAscii" w:hAnsiTheme="minorAscii" w:cstheme="minorAscii"/>
          <w:sz w:val="22"/>
          <w:szCs w:val="22"/>
          <w:lang w:val="en-GB"/>
        </w:rPr>
        <w:t>- and evidence-based solutions</w:t>
      </w:r>
      <w:r w:rsidRPr="6E936818" w:rsidR="002F2B9C">
        <w:rPr>
          <w:rFonts w:ascii="Calibri" w:hAnsi="Calibri" w:cs="Calibri" w:asciiTheme="minorAscii" w:hAnsiTheme="minorAscii" w:cstheme="minorAscii"/>
          <w:sz w:val="22"/>
          <w:szCs w:val="22"/>
          <w:lang w:val="en-GB"/>
        </w:rPr>
        <w:t xml:space="preserve"> that</w:t>
      </w:r>
      <w:r w:rsidRPr="6E936818" w:rsidR="00F37FE0">
        <w:rPr>
          <w:rFonts w:ascii="Calibri" w:hAnsi="Calibri" w:cs="Calibri" w:asciiTheme="minorAscii" w:hAnsiTheme="minorAscii" w:cstheme="minorAscii"/>
          <w:sz w:val="22"/>
          <w:szCs w:val="22"/>
          <w:lang w:val="en-GB"/>
        </w:rPr>
        <w:t xml:space="preserve"> cut across the three dimensions of sustainable development creat</w:t>
      </w:r>
      <w:r w:rsidRPr="6E936818" w:rsidR="002F2B9C">
        <w:rPr>
          <w:rFonts w:ascii="Calibri" w:hAnsi="Calibri" w:cs="Calibri" w:asciiTheme="minorAscii" w:hAnsiTheme="minorAscii" w:cstheme="minorAscii"/>
          <w:sz w:val="22"/>
          <w:szCs w:val="22"/>
          <w:lang w:val="en-GB"/>
        </w:rPr>
        <w:t>ing</w:t>
      </w:r>
      <w:r w:rsidRPr="6E936818" w:rsidR="00F37FE0">
        <w:rPr>
          <w:rFonts w:ascii="Calibri" w:hAnsi="Calibri" w:cs="Calibri" w:asciiTheme="minorAscii" w:hAnsiTheme="minorAscii" w:cstheme="minorAscii"/>
          <w:sz w:val="22"/>
          <w:szCs w:val="22"/>
          <w:lang w:val="en-GB"/>
        </w:rPr>
        <w:t xml:space="preserve"> co-benefits, address</w:t>
      </w:r>
      <w:r w:rsidRPr="6E936818" w:rsidR="002F2B9C">
        <w:rPr>
          <w:rFonts w:ascii="Calibri" w:hAnsi="Calibri" w:cs="Calibri" w:asciiTheme="minorAscii" w:hAnsiTheme="minorAscii" w:cstheme="minorAscii"/>
          <w:sz w:val="22"/>
          <w:szCs w:val="22"/>
          <w:lang w:val="en-GB"/>
        </w:rPr>
        <w:t>ing</w:t>
      </w:r>
      <w:r w:rsidRPr="6E936818" w:rsidR="00F37FE0">
        <w:rPr>
          <w:rFonts w:ascii="Calibri" w:hAnsi="Calibri" w:cs="Calibri" w:asciiTheme="minorAscii" w:hAnsiTheme="minorAscii" w:cstheme="minorAscii"/>
          <w:sz w:val="22"/>
          <w:szCs w:val="22"/>
          <w:lang w:val="en-GB"/>
        </w:rPr>
        <w:t xml:space="preserve"> trade-offs</w:t>
      </w:r>
      <w:r w:rsidRPr="6E936818" w:rsidR="002F2B9C">
        <w:rPr>
          <w:rFonts w:ascii="Calibri" w:hAnsi="Calibri" w:cs="Calibri" w:asciiTheme="minorAscii" w:hAnsiTheme="minorAscii" w:cstheme="minorAscii"/>
          <w:sz w:val="22"/>
          <w:szCs w:val="22"/>
          <w:lang w:val="en-GB"/>
        </w:rPr>
        <w:t>,</w:t>
      </w:r>
      <w:r w:rsidRPr="6E936818" w:rsidR="00F37FE0">
        <w:rPr>
          <w:rFonts w:ascii="Calibri" w:hAnsi="Calibri" w:cs="Calibri" w:asciiTheme="minorAscii" w:hAnsiTheme="minorAscii" w:cstheme="minorAscii"/>
          <w:sz w:val="22"/>
          <w:szCs w:val="22"/>
          <w:lang w:val="en-GB"/>
        </w:rPr>
        <w:t xml:space="preserve"> meet</w:t>
      </w:r>
      <w:r w:rsidRPr="6E936818" w:rsidR="002F2B9C">
        <w:rPr>
          <w:rFonts w:ascii="Calibri" w:hAnsi="Calibri" w:cs="Calibri" w:asciiTheme="minorAscii" w:hAnsiTheme="minorAscii" w:cstheme="minorAscii"/>
          <w:sz w:val="22"/>
          <w:szCs w:val="22"/>
          <w:lang w:val="en-GB"/>
        </w:rPr>
        <w:t>ing</w:t>
      </w:r>
      <w:r w:rsidRPr="6E936818" w:rsidR="00F37FE0">
        <w:rPr>
          <w:rFonts w:ascii="Calibri" w:hAnsi="Calibri" w:cs="Calibri" w:asciiTheme="minorAscii" w:hAnsiTheme="minorAscii" w:cstheme="minorAscii"/>
          <w:sz w:val="22"/>
          <w:szCs w:val="22"/>
          <w:lang w:val="en-GB"/>
        </w:rPr>
        <w:t xml:space="preserve"> multiple </w:t>
      </w:r>
      <w:r w:rsidRPr="6E936818" w:rsidR="00F37FE0">
        <w:rPr>
          <w:rFonts w:ascii="Calibri" w:hAnsi="Calibri" w:cs="Calibri" w:asciiTheme="minorAscii" w:hAnsiTheme="minorAscii" w:cstheme="minorAscii"/>
          <w:sz w:val="22"/>
          <w:szCs w:val="22"/>
          <w:lang w:val="en-GB"/>
        </w:rPr>
        <w:t xml:space="preserve">objectives</w:t>
      </w:r>
      <w:r w:rsidRPr="6E936818" w:rsidR="00F37FE0">
        <w:rPr>
          <w:rFonts w:ascii="Calibri" w:hAnsi="Calibri" w:cs="Calibri" w:asciiTheme="minorAscii" w:hAnsiTheme="minorAscii" w:cstheme="minorAscii"/>
          <w:sz w:val="22"/>
          <w:szCs w:val="22"/>
          <w:lang w:val="en-GB"/>
        </w:rPr>
        <w:t xml:space="preserve"> in a coherent </w:t>
      </w:r>
      <w:r w:rsidRPr="6E936818" w:rsidR="00653EBB">
        <w:rPr>
          <w:rFonts w:ascii="Calibri" w:hAnsi="Calibri" w:cs="Calibri" w:asciiTheme="minorAscii" w:hAnsiTheme="minorAscii" w:cstheme="minorAscii"/>
          <w:sz w:val="22"/>
          <w:szCs w:val="22"/>
          <w:lang w:val="en-GB"/>
        </w:rPr>
        <w:t>manner,</w:t>
      </w:r>
      <w:r w:rsidRPr="6E936818" w:rsidR="002F2B9C">
        <w:rPr>
          <w:rFonts w:ascii="Calibri" w:hAnsi="Calibri" w:cs="Calibri" w:asciiTheme="minorAscii" w:hAnsiTheme="minorAscii" w:cstheme="minorAscii"/>
          <w:sz w:val="22"/>
          <w:szCs w:val="22"/>
          <w:lang w:val="en-GB"/>
        </w:rPr>
        <w:t xml:space="preserve"> and </w:t>
      </w:r>
      <w:r w:rsidRPr="6E936818" w:rsidR="00F37FE0">
        <w:rPr>
          <w:rFonts w:ascii="Calibri" w:hAnsi="Calibri" w:cs="Calibri" w:asciiTheme="minorAscii" w:hAnsiTheme="minorAscii" w:cstheme="minorAscii"/>
          <w:sz w:val="22"/>
          <w:szCs w:val="22"/>
          <w:lang w:val="en-GB"/>
        </w:rPr>
        <w:t>leaving no one behind</w:t>
      </w:r>
      <w:r w:rsidRPr="6E936818" w:rsidR="00B91F3C">
        <w:rPr>
          <w:rFonts w:ascii="Calibri" w:hAnsi="Calibri" w:cs="Calibri" w:asciiTheme="minorAscii" w:hAnsiTheme="minorAscii" w:cstheme="minorAscii"/>
          <w:sz w:val="22"/>
          <w:szCs w:val="22"/>
          <w:lang w:val="en-GB"/>
        </w:rPr>
        <w:t>.</w:t>
      </w:r>
    </w:p>
    <w:p w:rsidRPr="00860AC6" w:rsidR="000D6329" w:rsidP="00FA1E09" w:rsidRDefault="00D42496" w14:paraId="0B4D8EEE" w14:textId="5C38D41A">
      <w:pPr>
        <w:spacing w:after="120"/>
        <w:rPr>
          <w:b/>
          <w:bCs/>
          <w:color w:val="0070C0"/>
          <w:u w:val="single"/>
        </w:rPr>
      </w:pPr>
      <w:r w:rsidRPr="00860AC6">
        <w:rPr>
          <w:b/>
          <w:bCs/>
          <w:color w:val="0070C0"/>
          <w:u w:val="single"/>
        </w:rPr>
        <w:t xml:space="preserve">SDG </w:t>
      </w:r>
      <w:r w:rsidRPr="00860AC6" w:rsidR="00475081">
        <w:rPr>
          <w:b/>
          <w:bCs/>
          <w:color w:val="0070C0"/>
          <w:u w:val="single"/>
        </w:rPr>
        <w:t>thematic review</w:t>
      </w:r>
      <w:r w:rsidRPr="00860AC6" w:rsidR="008659A6">
        <w:rPr>
          <w:b/>
          <w:bCs/>
          <w:color w:val="0070C0"/>
          <w:u w:val="single"/>
        </w:rPr>
        <w:t xml:space="preserve"> </w:t>
      </w:r>
      <w:r w:rsidRPr="00860AC6" w:rsidR="00F53382">
        <w:rPr>
          <w:b/>
          <w:bCs/>
          <w:color w:val="0070C0"/>
          <w:u w:val="single"/>
        </w:rPr>
        <w:t>context in 202</w:t>
      </w:r>
      <w:r w:rsidR="00546EDA">
        <w:rPr>
          <w:b/>
          <w:bCs/>
          <w:color w:val="0070C0"/>
          <w:u w:val="single"/>
        </w:rPr>
        <w:t>5</w:t>
      </w:r>
      <w:r w:rsidR="00A5794E">
        <w:rPr>
          <w:rStyle w:val="FootnoteReference"/>
          <w:b/>
          <w:bCs/>
          <w:color w:val="0070C0"/>
          <w:u w:val="single"/>
        </w:rPr>
        <w:footnoteReference w:id="1"/>
      </w:r>
    </w:p>
    <w:p w:rsidRPr="00FA1E09" w:rsidR="00A15D53" w:rsidP="00FA1E09" w:rsidRDefault="00187C53" w14:paraId="359D64B4" w14:textId="1169FB06">
      <w:pPr>
        <w:spacing w:after="120"/>
      </w:pPr>
      <w:r>
        <w:rPr>
          <w:rFonts w:cstheme="minorHAnsi"/>
        </w:rPr>
        <w:t>Ten years after the a</w:t>
      </w:r>
      <w:r w:rsidR="004F45A1">
        <w:rPr>
          <w:rFonts w:cstheme="minorHAnsi"/>
        </w:rPr>
        <w:t>greement</w:t>
      </w:r>
      <w:r>
        <w:rPr>
          <w:rFonts w:cstheme="minorHAnsi"/>
        </w:rPr>
        <w:t xml:space="preserve"> of </w:t>
      </w:r>
      <w:r w:rsidR="00AF219F">
        <w:rPr>
          <w:rFonts w:cstheme="minorHAnsi"/>
        </w:rPr>
        <w:t>the 2030 Agenda</w:t>
      </w:r>
      <w:r w:rsidR="00CC6097">
        <w:rPr>
          <w:rFonts w:cstheme="minorHAnsi"/>
        </w:rPr>
        <w:t xml:space="preserve"> as a plan of action for people, planet and prosperity;</w:t>
      </w:r>
      <w:r w:rsidR="001310C5">
        <w:rPr>
          <w:rFonts w:cstheme="minorHAnsi"/>
        </w:rPr>
        <w:t xml:space="preserve"> </w:t>
      </w:r>
      <w:r w:rsidRPr="00F32E58" w:rsidR="00F32E58">
        <w:rPr>
          <w:rFonts w:cstheme="minorHAnsi"/>
        </w:rPr>
        <w:t>intensifying, interconnected challenges continue to endanger the realization of the SDGs by the 2030 deadline.</w:t>
      </w:r>
      <w:r w:rsidR="00B77998">
        <w:rPr>
          <w:rFonts w:cstheme="minorHAnsi"/>
        </w:rPr>
        <w:t xml:space="preserve"> </w:t>
      </w:r>
      <w:r w:rsidRPr="00BB7A06" w:rsidR="00BB7A06">
        <w:t>Among the assessable targets, only 17 per cent display progress sufficient for achievement by 2030. Nearly half</w:t>
      </w:r>
      <w:r w:rsidR="008E0712">
        <w:t xml:space="preserve"> </w:t>
      </w:r>
      <w:r w:rsidRPr="008E0712" w:rsidR="008E0712">
        <w:t>(48 per cent) exhibit moderate to severe deviations from the desired trajectory, with 30 per cent showing marginal progress and 18 per cent moderate progress. Alarmingly, 18 per cent indicate stagnation and 17 per cent regression below the 2015 baseline levels.</w:t>
      </w:r>
    </w:p>
    <w:p w:rsidR="00C760E3" w:rsidP="00FA1E09" w:rsidRDefault="00C318C7" w14:paraId="05E75021" w14:textId="66393CC4">
      <w:pPr>
        <w:spacing w:after="120"/>
      </w:pPr>
      <w:r>
        <w:rPr>
          <w:rFonts w:cstheme="minorHAnsi"/>
        </w:rPr>
        <w:t>P</w:t>
      </w:r>
      <w:r w:rsidRPr="00C318C7">
        <w:rPr>
          <w:rFonts w:cstheme="minorHAnsi"/>
        </w:rPr>
        <w:t>rogress has ground to a halt or been reversed across multiple fronts, despite reaffirmed pledges</w:t>
      </w:r>
      <w:r w:rsidR="00075BF7">
        <w:rPr>
          <w:rFonts w:cstheme="minorHAnsi"/>
        </w:rPr>
        <w:t>.</w:t>
      </w:r>
      <w:r w:rsidR="00FB7483">
        <w:rPr>
          <w:rFonts w:cstheme="minorHAnsi"/>
        </w:rPr>
        <w:t xml:space="preserve"> </w:t>
      </w:r>
      <w:r w:rsidRPr="00C318C7">
        <w:rPr>
          <w:rFonts w:cstheme="minorHAnsi"/>
        </w:rPr>
        <w:t>The lingering impacts of COVID-19, compounded by</w:t>
      </w:r>
      <w:r w:rsidR="00757262">
        <w:rPr>
          <w:rFonts w:cstheme="minorHAnsi"/>
        </w:rPr>
        <w:t xml:space="preserve"> multiple</w:t>
      </w:r>
      <w:r w:rsidRPr="00C318C7">
        <w:rPr>
          <w:rFonts w:cstheme="minorHAnsi"/>
        </w:rPr>
        <w:t xml:space="preserve"> conflicts, climate shocks and economic turmoil, have aggravated existing inequalities. An additional 23 million people were pushed into extreme poverty and over 100 million more suffered from hunger in 2022 compared to 2019. While some health targets improved, overall global health progress has decelerated alarmingly since 2015. The COVID-19 pandemic has undone nearly 10 years of progress on life expectancy. Education, the bedrock of sustainable </w:t>
      </w:r>
      <w:r w:rsidRPr="00C318C7">
        <w:rPr>
          <w:rFonts w:cstheme="minorHAnsi"/>
        </w:rPr>
        <w:lastRenderedPageBreak/>
        <w:t>development, remains gravely threatened as many countries see declines in student math and reading skills, jeopardizing core competencies that will determine future prosperity.</w:t>
      </w:r>
    </w:p>
    <w:p w:rsidR="004010B7" w:rsidP="00FA1E09" w:rsidRDefault="004010B7" w14:paraId="6AC75E24" w14:textId="29CFCC1B">
      <w:pPr>
        <w:spacing w:after="120"/>
        <w:rPr>
          <w:rFonts w:eastAsia="Calibri" w:cstheme="minorHAnsi"/>
          <w:color w:val="000000"/>
        </w:rPr>
      </w:pPr>
      <w:r w:rsidRPr="004010B7">
        <w:rPr>
          <w:rFonts w:eastAsia="Calibri" w:cstheme="minorHAnsi"/>
          <w:color w:val="000000"/>
        </w:rPr>
        <w:t xml:space="preserve">Around the world, wars are upending millions of lives, driving the highest number of refugees (37.4 million) and forcibly displaced people (nearly 120 million) ever recorded. Civilian casualties in armed conflicts rose by 72 per cent between 2022 and 2023, the highest spike since the adoption of the 2030 Agenda. In 2023, 4 in 10 civilians killed in conflicts were women and 3 in 10 were children. </w:t>
      </w:r>
    </w:p>
    <w:p w:rsidR="00C760E3" w:rsidP="00FA1E09" w:rsidRDefault="00601158" w14:paraId="27D8C639" w14:textId="6CF4149B">
      <w:pPr>
        <w:spacing w:after="120"/>
      </w:pPr>
      <w:r w:rsidRPr="00601158">
        <w:t>After surging for two years, global inflation eased in 2023 but remained above the 2010-2019 average.</w:t>
      </w:r>
      <w:r w:rsidR="00FC17D8">
        <w:t xml:space="preserve"> </w:t>
      </w:r>
      <w:r w:rsidRPr="00FC17D8" w:rsidR="00FC17D8">
        <w:t>Inflation in most developing countries peaked in 2023 and is projected to moderate further in 2024. Despite these promising developments, food prices showed signs of an uptick in the second half of 2023, particularly in Africa, South Asia and Western Asia, due to limited pass-through from international prices to local prices, weak local currencies, and climate-related shocks. High food prices have been a significant driver of food insecurity in developing countries, disproportionately affecting the poorest households, which spend a larger share of their income on food.</w:t>
      </w:r>
      <w:r w:rsidR="00507FC5">
        <w:t xml:space="preserve"> </w:t>
      </w:r>
      <w:r w:rsidRPr="00136FF8" w:rsidR="00136FF8">
        <w:t>In most economies, wage growth failed to offset the impact of inflation and exacerbated the cost-of-living crisis</w:t>
      </w:r>
      <w:r w:rsidR="006251D9">
        <w:rPr>
          <w:rStyle w:val="FootnoteReference"/>
        </w:rPr>
        <w:footnoteReference w:id="2"/>
      </w:r>
      <w:r w:rsidRPr="00136FF8" w:rsidR="00136FF8">
        <w:t xml:space="preserve">. </w:t>
      </w:r>
    </w:p>
    <w:p w:rsidR="00AE04FF" w:rsidP="00FA1E09" w:rsidRDefault="00F265F8" w14:paraId="30EE08A9" w14:textId="1AF853D0">
      <w:pPr>
        <w:spacing w:after="120"/>
        <w:rPr>
          <w:rFonts w:cstheme="minorHAnsi"/>
        </w:rPr>
      </w:pPr>
      <w:r w:rsidRPr="0041623E">
        <w:rPr>
          <w:rFonts w:cstheme="minorHAnsi"/>
        </w:rPr>
        <w:t>The SDG investment gap in developing countries now stands at $4 trillion per year</w:t>
      </w:r>
      <w:r>
        <w:rPr>
          <w:rFonts w:cstheme="minorHAnsi"/>
        </w:rPr>
        <w:t xml:space="preserve">. </w:t>
      </w:r>
      <w:r w:rsidRPr="00AE04FF" w:rsidR="00AE04FF">
        <w:rPr>
          <w:rFonts w:cstheme="minorHAnsi"/>
        </w:rPr>
        <w:t>Fiscal space remains very limited, especially in developing countries; for many of these countries the lack of fiscal space presents special risks, as it restricts their capacity to invest in sustainable development and respond to new shocks. In 2022, more than 50 developing economies spent more than 10 per cent of total government revenues on interest payments, and 25 countries spent more than 20 per cent.</w:t>
      </w:r>
      <w:r w:rsidR="001A677E">
        <w:rPr>
          <w:rFonts w:cstheme="minorHAnsi"/>
        </w:rPr>
        <w:t xml:space="preserve"> </w:t>
      </w:r>
      <w:r w:rsidR="0041623E">
        <w:rPr>
          <w:rFonts w:cstheme="minorHAnsi"/>
        </w:rPr>
        <w:t>A</w:t>
      </w:r>
      <w:r w:rsidRPr="0041623E" w:rsidR="0041623E">
        <w:rPr>
          <w:rFonts w:cstheme="minorHAnsi"/>
        </w:rPr>
        <w:t xml:space="preserve">ter a decade of rapid debt accumulation, the external debt stock in low- and middle-income countries remains at unprecedentedly high levels. </w:t>
      </w:r>
      <w:r w:rsidRPr="001A677E" w:rsidR="001A677E">
        <w:rPr>
          <w:rFonts w:cstheme="minorHAnsi"/>
        </w:rPr>
        <w:t>Low-income countries, as well as middle-income countries with vulnerable fiscal situations, will need debt relief and restructuring measures to avoid devastating debt crises and protracted cycles of weak investment, slow growth, and high debt-servicing burdens.</w:t>
      </w:r>
    </w:p>
    <w:p w:rsidR="00241572" w:rsidP="00241572" w:rsidRDefault="00241572" w14:paraId="5C47ECFC" w14:textId="23D5E0C2">
      <w:pPr>
        <w:spacing w:after="120"/>
      </w:pPr>
      <w:r>
        <w:t>While many countries have rebounded from the COVID-19 pandemic, globally</w:t>
      </w:r>
      <w:r w:rsidRPr="00057A6E">
        <w:t xml:space="preserve"> </w:t>
      </w:r>
      <w:r w:rsidRPr="00136FF8">
        <w:t>recovery was uneven,</w:t>
      </w:r>
      <w:r>
        <w:t xml:space="preserve"> </w:t>
      </w:r>
      <w:r w:rsidRPr="00136FF8">
        <w:t>with developing economies in particular experiencing divergent trends.</w:t>
      </w:r>
      <w:r>
        <w:t xml:space="preserve"> </w:t>
      </w:r>
      <w:r w:rsidRPr="00136FF8">
        <w:t>The global labour market has rebounded quickly since the pandemic, outpacing the recovery after the 2008 financial crisis. By 2023, unemployment rates in many economies had fallen below pre-pandemic levels, reaching near-historic lows in the United States and several European economies. Brazil, China and Türkiye saw declining unemployment rates</w:t>
      </w:r>
      <w:r>
        <w:t>. However,</w:t>
      </w:r>
      <w:r w:rsidRPr="00136FF8">
        <w:t xml:space="preserve"> many developing countries, especially in Western Asia and Africa, struggled with high unemployment</w:t>
      </w:r>
      <w:r>
        <w:rPr>
          <w:rStyle w:val="FootnoteReference"/>
        </w:rPr>
        <w:footnoteReference w:id="3"/>
      </w:r>
      <w:r w:rsidRPr="00136FF8">
        <w:t xml:space="preserve">. </w:t>
      </w:r>
    </w:p>
    <w:p w:rsidR="003715FA" w:rsidP="00FA1E09" w:rsidRDefault="0086113C" w14:paraId="6E11C255" w14:textId="5F1C27C0">
      <w:pPr>
        <w:spacing w:after="120"/>
        <w:rPr>
          <w:rFonts w:cstheme="minorHAnsi"/>
        </w:rPr>
      </w:pPr>
      <w:r>
        <w:rPr>
          <w:rFonts w:cstheme="minorHAnsi"/>
        </w:rPr>
        <w:t xml:space="preserve">Some areas have seen progress. </w:t>
      </w:r>
      <w:r w:rsidRPr="00DF5E9D" w:rsidR="00DF5E9D">
        <w:rPr>
          <w:rFonts w:cstheme="minorHAnsi"/>
        </w:rPr>
        <w:t>For the first time, more than half of the world’s population (52.4 per cent) are covered by at least one social protection benefit, increasing from 42.8 per cent in 2015</w:t>
      </w:r>
      <w:r w:rsidR="00DF5E9D">
        <w:rPr>
          <w:rFonts w:cstheme="minorHAnsi"/>
        </w:rPr>
        <w:t xml:space="preserve">. </w:t>
      </w:r>
      <w:r w:rsidRPr="001C3BDE" w:rsidR="00100A60">
        <w:rPr>
          <w:rFonts w:cstheme="minorHAnsi"/>
        </w:rPr>
        <w:t>Social protection makes an important contribution to both climate change adaptation and mitigation</w:t>
      </w:r>
      <w:r w:rsidR="00100A60">
        <w:rPr>
          <w:rFonts w:cstheme="minorHAnsi"/>
        </w:rPr>
        <w:t xml:space="preserve">. </w:t>
      </w:r>
      <w:r w:rsidRPr="003715FA" w:rsidR="00100A60">
        <w:rPr>
          <w:rFonts w:cstheme="minorHAnsi"/>
        </w:rPr>
        <w:t>Universal social protection systems have an important role to play to help realize climate ambitions and facilitate a just transition.</w:t>
      </w:r>
      <w:r w:rsidR="00100A60">
        <w:rPr>
          <w:rFonts w:cstheme="minorHAnsi"/>
        </w:rPr>
        <w:t xml:space="preserve"> More needs to be done. </w:t>
      </w:r>
      <w:r w:rsidR="00DF5E9D">
        <w:rPr>
          <w:rFonts w:cstheme="minorHAnsi"/>
        </w:rPr>
        <w:t>T</w:t>
      </w:r>
      <w:r w:rsidRPr="00DF5E9D" w:rsidR="00DF5E9D">
        <w:rPr>
          <w:rFonts w:cstheme="minorHAnsi"/>
        </w:rPr>
        <w:t>he world is currently on two very different and divergent social protection trajectories</w:t>
      </w:r>
      <w:r w:rsidR="005C668B">
        <w:rPr>
          <w:rFonts w:cstheme="minorHAnsi"/>
        </w:rPr>
        <w:t>. H</w:t>
      </w:r>
      <w:r w:rsidRPr="00DF5E9D" w:rsidR="00DF5E9D">
        <w:rPr>
          <w:rFonts w:cstheme="minorHAnsi"/>
        </w:rPr>
        <w:t>igh-income countries</w:t>
      </w:r>
      <w:r w:rsidR="00844E9C">
        <w:rPr>
          <w:rFonts w:cstheme="minorHAnsi"/>
        </w:rPr>
        <w:t xml:space="preserve"> </w:t>
      </w:r>
      <w:r w:rsidRPr="00844E9C" w:rsidR="00844E9C">
        <w:rPr>
          <w:rFonts w:cstheme="minorHAnsi"/>
        </w:rPr>
        <w:t xml:space="preserve">are edging closer to enjoying universal </w:t>
      </w:r>
      <w:r w:rsidRPr="00844E9C" w:rsidR="005C668B">
        <w:rPr>
          <w:rFonts w:cstheme="minorHAnsi"/>
        </w:rPr>
        <w:t>coverage</w:t>
      </w:r>
      <w:r w:rsidR="005C668B">
        <w:rPr>
          <w:rFonts w:cstheme="minorHAnsi"/>
        </w:rPr>
        <w:t>,</w:t>
      </w:r>
      <w:r w:rsidRPr="00844E9C" w:rsidR="005C668B">
        <w:rPr>
          <w:rFonts w:cstheme="minorHAnsi"/>
        </w:rPr>
        <w:t xml:space="preserve"> upper</w:t>
      </w:r>
      <w:r w:rsidRPr="00844E9C" w:rsidR="00844E9C">
        <w:rPr>
          <w:rFonts w:cstheme="minorHAnsi"/>
        </w:rPr>
        <w:t xml:space="preserve">-middle-income and lower-middle-income countries are making large strides in closing </w:t>
      </w:r>
      <w:r w:rsidRPr="00844E9C" w:rsidR="00844E9C">
        <w:rPr>
          <w:rFonts w:cstheme="minorHAnsi"/>
        </w:rPr>
        <w:lastRenderedPageBreak/>
        <w:t xml:space="preserve">protection </w:t>
      </w:r>
      <w:r w:rsidRPr="00844E9C" w:rsidR="001F13AE">
        <w:rPr>
          <w:rFonts w:cstheme="minorHAnsi"/>
        </w:rPr>
        <w:t>gaps,</w:t>
      </w:r>
      <w:r w:rsidR="00844E9C">
        <w:rPr>
          <w:rFonts w:cstheme="minorHAnsi"/>
        </w:rPr>
        <w:t xml:space="preserve"> but</w:t>
      </w:r>
      <w:r w:rsidRPr="00844E9C" w:rsidR="00844E9C">
        <w:rPr>
          <w:rFonts w:cstheme="minorHAnsi"/>
        </w:rPr>
        <w:t xml:space="preserve"> low-income countries’ coverage rates have hardly increased since 2015, which are unacceptably low</w:t>
      </w:r>
      <w:r w:rsidR="00613652">
        <w:rPr>
          <w:rFonts w:cstheme="minorHAnsi"/>
        </w:rPr>
        <w:t xml:space="preserve"> </w:t>
      </w:r>
      <w:r w:rsidRPr="00844E9C" w:rsidR="00613652">
        <w:rPr>
          <w:rFonts w:cstheme="minorHAnsi"/>
        </w:rPr>
        <w:t>(9.7 per cent)</w:t>
      </w:r>
      <w:r w:rsidR="00AE601A">
        <w:rPr>
          <w:rStyle w:val="FootnoteReference"/>
          <w:rFonts w:cstheme="minorHAnsi"/>
        </w:rPr>
        <w:footnoteReference w:id="4"/>
      </w:r>
      <w:r w:rsidRPr="00844E9C" w:rsidR="00844E9C">
        <w:rPr>
          <w:rFonts w:cstheme="minorHAnsi"/>
        </w:rPr>
        <w:t>.</w:t>
      </w:r>
    </w:p>
    <w:p w:rsidR="00CF287E" w:rsidP="00CF287E" w:rsidRDefault="00DD72C6" w14:paraId="35E498F4" w14:textId="2DE22116">
      <w:pPr>
        <w:spacing w:after="120"/>
        <w:rPr>
          <w:rFonts w:cstheme="minorHAnsi"/>
        </w:rPr>
      </w:pPr>
      <w:r>
        <w:rPr>
          <w:rFonts w:cstheme="minorHAnsi"/>
        </w:rPr>
        <w:t xml:space="preserve">In many areas, the gender gap is wide, presenting an opportunity for </w:t>
      </w:r>
      <w:r w:rsidR="00B7175E">
        <w:rPr>
          <w:rFonts w:cstheme="minorHAnsi"/>
        </w:rPr>
        <w:t>targeted action for SDG progress</w:t>
      </w:r>
      <w:r w:rsidR="00264B53">
        <w:rPr>
          <w:rFonts w:cstheme="minorHAnsi"/>
        </w:rPr>
        <w:t>.</w:t>
      </w:r>
      <w:r w:rsidR="00B7175E">
        <w:rPr>
          <w:rFonts w:cstheme="minorHAnsi"/>
        </w:rPr>
        <w:t xml:space="preserve"> It is impossible to achieve a</w:t>
      </w:r>
      <w:r w:rsidR="001F13AE">
        <w:rPr>
          <w:rFonts w:cstheme="minorHAnsi"/>
        </w:rPr>
        <w:t>n</w:t>
      </w:r>
      <w:r w:rsidR="00B7175E">
        <w:rPr>
          <w:rFonts w:cstheme="minorHAnsi"/>
        </w:rPr>
        <w:t xml:space="preserve"> SDG if </w:t>
      </w:r>
      <w:r w:rsidR="00B91297">
        <w:rPr>
          <w:rFonts w:cstheme="minorHAnsi"/>
        </w:rPr>
        <w:t xml:space="preserve">one </w:t>
      </w:r>
      <w:r w:rsidR="00B7175E">
        <w:rPr>
          <w:rFonts w:cstheme="minorHAnsi"/>
        </w:rPr>
        <w:t xml:space="preserve">half of humanity is not </w:t>
      </w:r>
      <w:r w:rsidR="00B91297">
        <w:rPr>
          <w:rFonts w:cstheme="minorHAnsi"/>
        </w:rPr>
        <w:t>keeping pace with the other.</w:t>
      </w:r>
      <w:r w:rsidR="00B7175E">
        <w:rPr>
          <w:rFonts w:cstheme="minorHAnsi"/>
        </w:rPr>
        <w:t xml:space="preserve"> </w:t>
      </w:r>
      <w:r w:rsidR="00264B53">
        <w:rPr>
          <w:rFonts w:cstheme="minorHAnsi"/>
        </w:rPr>
        <w:t>While</w:t>
      </w:r>
      <w:r w:rsidRPr="00F66F1D" w:rsidR="00F66F1D">
        <w:rPr>
          <w:rFonts w:cstheme="minorHAnsi"/>
        </w:rPr>
        <w:t xml:space="preserve"> 33.8 per cent of the working-age population </w:t>
      </w:r>
      <w:r w:rsidR="00264B53">
        <w:rPr>
          <w:rFonts w:cstheme="minorHAnsi"/>
        </w:rPr>
        <w:t xml:space="preserve">is </w:t>
      </w:r>
      <w:r w:rsidRPr="00F66F1D" w:rsidR="00F66F1D">
        <w:rPr>
          <w:rFonts w:cstheme="minorHAnsi"/>
        </w:rPr>
        <w:t>legally covered by comprehensive social security systems</w:t>
      </w:r>
      <w:r w:rsidR="00264B53">
        <w:rPr>
          <w:rFonts w:cstheme="minorHAnsi"/>
        </w:rPr>
        <w:t>,</w:t>
      </w:r>
      <w:r w:rsidRPr="00F66F1D" w:rsidR="00F66F1D">
        <w:rPr>
          <w:rFonts w:cstheme="minorHAnsi"/>
        </w:rPr>
        <w:t xml:space="preserve"> </w:t>
      </w:r>
      <w:r w:rsidR="00F152D2">
        <w:rPr>
          <w:rFonts w:cstheme="minorHAnsi"/>
        </w:rPr>
        <w:t>the</w:t>
      </w:r>
      <w:r w:rsidRPr="00F66F1D" w:rsidR="00F66F1D">
        <w:rPr>
          <w:rFonts w:cstheme="minorHAnsi"/>
        </w:rPr>
        <w:t xml:space="preserve"> coverage rate</w:t>
      </w:r>
      <w:r w:rsidR="00CE274C">
        <w:rPr>
          <w:rFonts w:cstheme="minorHAnsi"/>
        </w:rPr>
        <w:t xml:space="preserve"> </w:t>
      </w:r>
      <w:r w:rsidR="00264B53">
        <w:rPr>
          <w:rFonts w:cstheme="minorHAnsi"/>
        </w:rPr>
        <w:t>is</w:t>
      </w:r>
      <w:r w:rsidRPr="00CE274C" w:rsidR="00CE274C">
        <w:rPr>
          <w:rFonts w:cstheme="minorHAnsi"/>
        </w:rPr>
        <w:t xml:space="preserve"> 39.3 per cent for men and 28.2 per cent for women – an 11.1 percentage point difference. </w:t>
      </w:r>
      <w:r w:rsidR="00127CBC">
        <w:rPr>
          <w:rFonts w:cstheme="minorHAnsi"/>
        </w:rPr>
        <w:t xml:space="preserve">Addressing gender gaps and </w:t>
      </w:r>
      <w:r w:rsidRPr="00F152D2" w:rsidR="00F152D2">
        <w:rPr>
          <w:rFonts w:cstheme="minorHAnsi"/>
        </w:rPr>
        <w:t xml:space="preserve">inequalities in labour markets, </w:t>
      </w:r>
      <w:r w:rsidR="00613652">
        <w:rPr>
          <w:rFonts w:cstheme="minorHAnsi"/>
        </w:rPr>
        <w:t>at home</w:t>
      </w:r>
      <w:r w:rsidRPr="00F152D2" w:rsidR="00F152D2">
        <w:rPr>
          <w:rFonts w:cstheme="minorHAnsi"/>
        </w:rPr>
        <w:t xml:space="preserve"> and</w:t>
      </w:r>
      <w:r w:rsidR="00613652">
        <w:rPr>
          <w:rFonts w:cstheme="minorHAnsi"/>
        </w:rPr>
        <w:t xml:space="preserve"> in</w:t>
      </w:r>
      <w:r w:rsidRPr="00F152D2" w:rsidR="00F152D2">
        <w:rPr>
          <w:rFonts w:cstheme="minorHAnsi"/>
        </w:rPr>
        <w:t xml:space="preserve"> society</w:t>
      </w:r>
      <w:r w:rsidR="00127CBC">
        <w:rPr>
          <w:rFonts w:cstheme="minorHAnsi"/>
        </w:rPr>
        <w:t xml:space="preserve"> is imperative for accelerating progress across multiple goals. </w:t>
      </w:r>
    </w:p>
    <w:p w:rsidRPr="00B87ABC" w:rsidR="0082635E" w:rsidP="00B87ABC" w:rsidRDefault="00356135" w14:paraId="0B923216" w14:textId="4A972B61">
      <w:pPr>
        <w:spacing w:after="120"/>
        <w:rPr>
          <w:rFonts w:cstheme="minorHAnsi"/>
          <w:b/>
          <w:bCs/>
          <w:lang w:val="en-US"/>
        </w:rPr>
      </w:pPr>
      <w:r>
        <w:t xml:space="preserve">At the SDG Summit 2023, countries made a renewed commitment to boost investments and accelerate momentum to achieve the 2030 Agenda. </w:t>
      </w:r>
      <w:r w:rsidRPr="001715CE" w:rsidR="001715CE">
        <w:rPr>
          <w:rFonts w:cstheme="minorHAnsi"/>
          <w:lang w:val="en-US"/>
        </w:rPr>
        <w:t>At the Summit of the Future</w:t>
      </w:r>
      <w:r w:rsidR="002815B5">
        <w:rPr>
          <w:rFonts w:cstheme="minorHAnsi"/>
          <w:lang w:val="en-US"/>
        </w:rPr>
        <w:t>,</w:t>
      </w:r>
      <w:r w:rsidRPr="001715CE" w:rsidR="001715CE">
        <w:rPr>
          <w:rFonts w:cstheme="minorHAnsi"/>
          <w:lang w:val="en-US"/>
        </w:rPr>
        <w:t xml:space="preserve"> on 22 September 2024, world</w:t>
      </w:r>
      <w:r w:rsidR="001715CE">
        <w:rPr>
          <w:rFonts w:cstheme="minorHAnsi"/>
          <w:lang w:val="en-US"/>
        </w:rPr>
        <w:t xml:space="preserve"> </w:t>
      </w:r>
      <w:r w:rsidRPr="001715CE" w:rsidR="001715CE">
        <w:rPr>
          <w:rFonts w:cstheme="minorHAnsi"/>
          <w:lang w:val="en-US"/>
        </w:rPr>
        <w:t>leaders adopted a Pact for the Future</w:t>
      </w:r>
      <w:r w:rsidR="0052057C">
        <w:rPr>
          <w:rFonts w:cstheme="minorHAnsi"/>
          <w:lang w:val="en-US"/>
        </w:rPr>
        <w:t xml:space="preserve">. </w:t>
      </w:r>
      <w:r w:rsidRPr="0052057C" w:rsidR="0052057C">
        <w:rPr>
          <w:rFonts w:cstheme="minorHAnsi"/>
          <w:lang w:val="en-US"/>
        </w:rPr>
        <w:t>Leaders set out a clear vision of a</w:t>
      </w:r>
      <w:r w:rsidR="0052057C">
        <w:rPr>
          <w:rFonts w:cstheme="minorHAnsi"/>
          <w:lang w:val="en-US"/>
        </w:rPr>
        <w:t xml:space="preserve"> </w:t>
      </w:r>
      <w:r w:rsidRPr="0052057C" w:rsidR="0052057C">
        <w:rPr>
          <w:rFonts w:cstheme="minorHAnsi"/>
          <w:lang w:val="en-US"/>
        </w:rPr>
        <w:t>multilateralism that</w:t>
      </w:r>
      <w:r w:rsidR="0052057C">
        <w:rPr>
          <w:rFonts w:cstheme="minorHAnsi"/>
          <w:lang w:val="en-US"/>
        </w:rPr>
        <w:t xml:space="preserve"> </w:t>
      </w:r>
      <w:r w:rsidRPr="0052057C" w:rsidR="0052057C">
        <w:rPr>
          <w:rFonts w:cstheme="minorHAnsi"/>
          <w:lang w:val="en-US"/>
        </w:rPr>
        <w:t>can deliver on its promises, is more representative of today’s</w:t>
      </w:r>
      <w:r w:rsidR="0052057C">
        <w:rPr>
          <w:rFonts w:cstheme="minorHAnsi"/>
          <w:lang w:val="en-US"/>
        </w:rPr>
        <w:t xml:space="preserve"> </w:t>
      </w:r>
      <w:r w:rsidRPr="0052057C" w:rsidR="0052057C">
        <w:rPr>
          <w:rFonts w:cstheme="minorHAnsi"/>
          <w:lang w:val="en-US"/>
        </w:rPr>
        <w:t>world and draws on</w:t>
      </w:r>
      <w:r w:rsidR="0052057C">
        <w:rPr>
          <w:rFonts w:cstheme="minorHAnsi"/>
          <w:lang w:val="en-US"/>
        </w:rPr>
        <w:t xml:space="preserve"> </w:t>
      </w:r>
      <w:r w:rsidRPr="0052057C" w:rsidR="0052057C">
        <w:rPr>
          <w:rFonts w:cstheme="minorHAnsi"/>
          <w:lang w:val="en-US"/>
        </w:rPr>
        <w:t>the engagement and expertise of</w:t>
      </w:r>
      <w:r w:rsidR="0052057C">
        <w:rPr>
          <w:rFonts w:cstheme="minorHAnsi"/>
          <w:lang w:val="en-US"/>
        </w:rPr>
        <w:t xml:space="preserve"> </w:t>
      </w:r>
      <w:r w:rsidRPr="00B87ABC" w:rsidR="0052057C">
        <w:rPr>
          <w:rFonts w:cstheme="minorHAnsi"/>
          <w:lang w:val="en-US"/>
        </w:rPr>
        <w:t>governments, civil society and other key partners.</w:t>
      </w:r>
      <w:r w:rsidRPr="00B87ABC" w:rsidR="00CF287E">
        <w:rPr>
          <w:rFonts w:cstheme="minorHAnsi"/>
          <w:lang w:val="en-US"/>
        </w:rPr>
        <w:t xml:space="preserve"> </w:t>
      </w:r>
      <w:r w:rsidRPr="00B87ABC" w:rsidR="00B87ABC">
        <w:rPr>
          <w:rFonts w:cstheme="minorHAnsi"/>
          <w:lang w:val="en-US"/>
        </w:rPr>
        <w:t xml:space="preserve">Leaders also committed to the increased use of science in </w:t>
      </w:r>
      <w:proofErr w:type="gramStart"/>
      <w:r w:rsidRPr="00B87ABC" w:rsidR="00B87ABC">
        <w:rPr>
          <w:rFonts w:cstheme="minorHAnsi"/>
          <w:lang w:val="en-US"/>
        </w:rPr>
        <w:t>policy-making</w:t>
      </w:r>
      <w:proofErr w:type="gramEnd"/>
      <w:r w:rsidRPr="00B87ABC" w:rsidR="00B87ABC">
        <w:rPr>
          <w:rFonts w:cstheme="minorHAnsi"/>
          <w:lang w:val="en-US"/>
        </w:rPr>
        <w:t xml:space="preserve"> to address complex challenges, and to more funding</w:t>
      </w:r>
      <w:r w:rsidR="00B87ABC">
        <w:rPr>
          <w:rFonts w:cstheme="minorHAnsi"/>
          <w:b/>
          <w:bCs/>
          <w:lang w:val="en-US"/>
        </w:rPr>
        <w:t xml:space="preserve"> </w:t>
      </w:r>
      <w:r w:rsidRPr="00B87ABC" w:rsidR="00B87ABC">
        <w:rPr>
          <w:rFonts w:cstheme="minorHAnsi"/>
          <w:lang w:val="en-US"/>
        </w:rPr>
        <w:t>for SDG-related research and innovation.</w:t>
      </w:r>
    </w:p>
    <w:p w:rsidR="00365296" w:rsidP="00FA1E09" w:rsidRDefault="00AC337E" w14:paraId="5216C993" w14:textId="0F4E4D45">
      <w:pPr>
        <w:spacing w:after="120"/>
        <w:rPr>
          <w:rFonts w:cstheme="minorHAnsi"/>
          <w:b/>
          <w:bCs/>
          <w:lang w:val="en-US"/>
        </w:rPr>
      </w:pPr>
      <w:r>
        <w:rPr>
          <w:rFonts w:cstheme="minorHAnsi"/>
          <w:lang w:val="en-US"/>
        </w:rPr>
        <w:t xml:space="preserve">In the Pact, </w:t>
      </w:r>
      <w:r w:rsidRPr="00CF287E" w:rsidR="00CF287E">
        <w:rPr>
          <w:rFonts w:cstheme="minorHAnsi"/>
          <w:lang w:val="en-US"/>
        </w:rPr>
        <w:t xml:space="preserve">Member States recommitted to accelerate the </w:t>
      </w:r>
      <w:r w:rsidRPr="002815B5" w:rsidR="00CF287E">
        <w:rPr>
          <w:rFonts w:cstheme="minorHAnsi"/>
          <w:lang w:val="en-US"/>
        </w:rPr>
        <w:t xml:space="preserve">implementation of </w:t>
      </w:r>
      <w:r w:rsidRPr="00CF287E" w:rsidR="00CF287E">
        <w:rPr>
          <w:rFonts w:cstheme="minorHAnsi"/>
          <w:lang w:val="en-US"/>
        </w:rPr>
        <w:t>the 2030 Agenda and of the 2023 SDG Summit Political</w:t>
      </w:r>
      <w:r w:rsidRPr="002815B5" w:rsidR="00CF287E">
        <w:rPr>
          <w:rFonts w:cstheme="minorHAnsi"/>
          <w:lang w:val="en-US"/>
        </w:rPr>
        <w:t xml:space="preserve"> </w:t>
      </w:r>
      <w:r w:rsidRPr="00CF287E" w:rsidR="00CF287E">
        <w:rPr>
          <w:rFonts w:cstheme="minorHAnsi"/>
          <w:lang w:val="en-US"/>
        </w:rPr>
        <w:t>Declaration through urgent and scaled-up action, policies and</w:t>
      </w:r>
      <w:r w:rsidRPr="002815B5" w:rsidR="00CF287E">
        <w:rPr>
          <w:rFonts w:cstheme="minorHAnsi"/>
          <w:lang w:val="en-US"/>
        </w:rPr>
        <w:t xml:space="preserve"> </w:t>
      </w:r>
      <w:r w:rsidRPr="00CF287E" w:rsidR="00CF287E">
        <w:rPr>
          <w:rFonts w:cstheme="minorHAnsi"/>
          <w:lang w:val="en-US"/>
        </w:rPr>
        <w:t>investments with the goal to end poverty and hunger and leave</w:t>
      </w:r>
      <w:r w:rsidRPr="002815B5" w:rsidR="00CF287E">
        <w:rPr>
          <w:rFonts w:cstheme="minorHAnsi"/>
          <w:lang w:val="en-US"/>
        </w:rPr>
        <w:t xml:space="preserve"> no one behind.</w:t>
      </w:r>
      <w:r w:rsidR="0082635E">
        <w:rPr>
          <w:rFonts w:cstheme="minorHAnsi"/>
          <w:lang w:val="en-US"/>
        </w:rPr>
        <w:t xml:space="preserve"> </w:t>
      </w:r>
      <w:r w:rsidRPr="009D1449" w:rsidR="009D1449">
        <w:rPr>
          <w:rFonts w:cstheme="minorHAnsi"/>
          <w:lang w:val="en-US"/>
        </w:rPr>
        <w:t>Global leaders agreed on a step-change in financing for the</w:t>
      </w:r>
      <w:r w:rsidRPr="002815B5" w:rsidR="009D1449">
        <w:rPr>
          <w:rFonts w:cstheme="minorHAnsi"/>
          <w:lang w:val="en-US"/>
        </w:rPr>
        <w:t xml:space="preserve"> </w:t>
      </w:r>
      <w:r w:rsidRPr="009D1449" w:rsidR="009D1449">
        <w:rPr>
          <w:rFonts w:cstheme="minorHAnsi"/>
          <w:lang w:val="en-US"/>
        </w:rPr>
        <w:t>SDGs and closing the SDG financing gap, including through an</w:t>
      </w:r>
      <w:r w:rsidRPr="002815B5" w:rsidR="009D1449">
        <w:rPr>
          <w:rFonts w:cstheme="minorHAnsi"/>
          <w:lang w:val="en-US"/>
        </w:rPr>
        <w:t xml:space="preserve"> </w:t>
      </w:r>
      <w:r w:rsidRPr="009D1449" w:rsidR="009D1449">
        <w:rPr>
          <w:rFonts w:cstheme="minorHAnsi"/>
          <w:lang w:val="en-US"/>
        </w:rPr>
        <w:t>SDG Stimulus, reaching official development assistance</w:t>
      </w:r>
      <w:r w:rsidRPr="002815B5" w:rsidR="009D1449">
        <w:rPr>
          <w:rFonts w:cstheme="minorHAnsi"/>
          <w:lang w:val="en-US"/>
        </w:rPr>
        <w:t xml:space="preserve"> </w:t>
      </w:r>
      <w:r w:rsidRPr="009D1449" w:rsidR="009D1449">
        <w:rPr>
          <w:rFonts w:cstheme="minorHAnsi"/>
          <w:lang w:val="en-US"/>
        </w:rPr>
        <w:t>targets, private sector investment, mobilization of domestic</w:t>
      </w:r>
      <w:r w:rsidR="009D1449">
        <w:rPr>
          <w:rFonts w:cstheme="minorHAnsi"/>
          <w:b/>
          <w:bCs/>
          <w:lang w:val="en-US"/>
        </w:rPr>
        <w:t xml:space="preserve"> </w:t>
      </w:r>
      <w:r w:rsidRPr="009D1449" w:rsidR="009D1449">
        <w:rPr>
          <w:rFonts w:cstheme="minorHAnsi"/>
          <w:lang w:val="en-US"/>
        </w:rPr>
        <w:t>resources, inclusive and effective international tax cooperation,</w:t>
      </w:r>
      <w:r w:rsidR="009D1449">
        <w:rPr>
          <w:rFonts w:cstheme="minorHAnsi"/>
          <w:b/>
          <w:bCs/>
          <w:lang w:val="en-US"/>
        </w:rPr>
        <w:t xml:space="preserve"> </w:t>
      </w:r>
      <w:r w:rsidRPr="009D1449" w:rsidR="009D1449">
        <w:rPr>
          <w:rFonts w:cstheme="minorHAnsi"/>
          <w:lang w:val="en-US"/>
        </w:rPr>
        <w:t>and consideration of a global minimum level of taxation on</w:t>
      </w:r>
      <w:r w:rsidR="009D1449">
        <w:rPr>
          <w:rFonts w:cstheme="minorHAnsi"/>
          <w:b/>
          <w:bCs/>
          <w:lang w:val="en-US"/>
        </w:rPr>
        <w:t xml:space="preserve"> </w:t>
      </w:r>
      <w:r w:rsidRPr="009D1449" w:rsidR="009D1449">
        <w:rPr>
          <w:rFonts w:cstheme="minorHAnsi"/>
          <w:lang w:val="en-US"/>
        </w:rPr>
        <w:t>high-net-worth individuals.</w:t>
      </w:r>
    </w:p>
    <w:p w:rsidR="00935CBA" w:rsidP="008605E7" w:rsidRDefault="0082635E" w14:paraId="497F0ECA" w14:textId="77777777">
      <w:pPr>
        <w:spacing w:after="120"/>
        <w:rPr>
          <w:rFonts w:cstheme="minorHAnsi"/>
        </w:rPr>
      </w:pPr>
      <w:r>
        <w:t>In this context, s</w:t>
      </w:r>
      <w:r w:rsidRPr="007D3621" w:rsidR="00B91F3C">
        <w:t xml:space="preserve">ubstantive </w:t>
      </w:r>
      <w:r w:rsidRPr="007D3621" w:rsidR="00924ACA">
        <w:t>reviews</w:t>
      </w:r>
      <w:r w:rsidRPr="007D3621" w:rsidR="00B91F3C">
        <w:t xml:space="preserve"> for the 202</w:t>
      </w:r>
      <w:r w:rsidR="008E0712">
        <w:t>5</w:t>
      </w:r>
      <w:r w:rsidRPr="007D3621" w:rsidR="00B91F3C">
        <w:t xml:space="preserve"> HLPF </w:t>
      </w:r>
      <w:r w:rsidR="00085244">
        <w:t xml:space="preserve">are an opportunity </w:t>
      </w:r>
      <w:r w:rsidRPr="007D3621" w:rsidR="00B91F3C">
        <w:t xml:space="preserve">to </w:t>
      </w:r>
      <w:r w:rsidRPr="007D3621" w:rsidR="00656970">
        <w:t xml:space="preserve">assess </w:t>
      </w:r>
      <w:r w:rsidRPr="007D3621" w:rsidR="00820D85">
        <w:t>progress</w:t>
      </w:r>
      <w:r w:rsidR="00820D85">
        <w:t>,</w:t>
      </w:r>
      <w:r w:rsidRPr="007D3621" w:rsidR="00820D85">
        <w:t xml:space="preserve"> </w:t>
      </w:r>
      <w:r w:rsidR="002160CA">
        <w:t>identify emerging and persistent challenges to progress on each of the Goals</w:t>
      </w:r>
      <w:r w:rsidR="000D5A52">
        <w:t>,</w:t>
      </w:r>
      <w:r w:rsidR="002160CA">
        <w:t xml:space="preserve"> </w:t>
      </w:r>
      <w:r>
        <w:t xml:space="preserve">and </w:t>
      </w:r>
      <w:r w:rsidR="000D5A52">
        <w:t>consider</w:t>
      </w:r>
      <w:r w:rsidR="004972D0">
        <w:t xml:space="preserve"> </w:t>
      </w:r>
      <w:r>
        <w:t>opportunities</w:t>
      </w:r>
      <w:r w:rsidR="006C6672">
        <w:t xml:space="preserve"> </w:t>
      </w:r>
      <w:r w:rsidR="004972D0">
        <w:t xml:space="preserve">for action </w:t>
      </w:r>
      <w:r w:rsidR="006C6672">
        <w:t>that have emerged</w:t>
      </w:r>
      <w:r>
        <w:t xml:space="preserve"> </w:t>
      </w:r>
      <w:r w:rsidR="00475081">
        <w:rPr>
          <w:rFonts w:cstheme="minorHAnsi"/>
        </w:rPr>
        <w:t>since</w:t>
      </w:r>
      <w:r w:rsidR="00CB74F9">
        <w:rPr>
          <w:rFonts w:cstheme="minorHAnsi"/>
        </w:rPr>
        <w:t xml:space="preserve"> each in-focus SDG was last reviewed at the HLPF</w:t>
      </w:r>
      <w:r w:rsidR="00F53382">
        <w:rPr>
          <w:rFonts w:cstheme="minorHAnsi"/>
        </w:rPr>
        <w:t xml:space="preserve"> (see Annex A)</w:t>
      </w:r>
      <w:r w:rsidR="00322135">
        <w:rPr>
          <w:rFonts w:cstheme="minorHAnsi"/>
        </w:rPr>
        <w:t xml:space="preserve">. </w:t>
      </w:r>
      <w:r w:rsidR="00B57F8D">
        <w:rPr>
          <w:rFonts w:cstheme="minorHAnsi"/>
        </w:rPr>
        <w:t>Each of these SDGs has already been reviewed two times providing ample opportunity for sharing of experiences and lessons learned. It</w:t>
      </w:r>
      <w:r w:rsidR="00365296">
        <w:rPr>
          <w:rFonts w:cstheme="minorHAnsi"/>
        </w:rPr>
        <w:t>’</w:t>
      </w:r>
      <w:r w:rsidR="00B57F8D">
        <w:rPr>
          <w:rFonts w:cstheme="minorHAnsi"/>
        </w:rPr>
        <w:t xml:space="preserve">s now time to </w:t>
      </w:r>
      <w:r w:rsidR="00CB2A7D">
        <w:rPr>
          <w:rFonts w:cstheme="minorHAnsi"/>
        </w:rPr>
        <w:t>identify the</w:t>
      </w:r>
      <w:r w:rsidR="00A24748">
        <w:rPr>
          <w:rFonts w:cstheme="minorHAnsi"/>
        </w:rPr>
        <w:t xml:space="preserve"> science-backed</w:t>
      </w:r>
      <w:r w:rsidR="00CB2A7D">
        <w:rPr>
          <w:rFonts w:cstheme="minorHAnsi"/>
        </w:rPr>
        <w:t xml:space="preserve"> transformations that </w:t>
      </w:r>
      <w:proofErr w:type="gramStart"/>
      <w:r w:rsidR="00CB2A7D">
        <w:rPr>
          <w:rFonts w:cstheme="minorHAnsi"/>
        </w:rPr>
        <w:t>have to</w:t>
      </w:r>
      <w:proofErr w:type="gramEnd"/>
      <w:r w:rsidR="00CB2A7D">
        <w:rPr>
          <w:rFonts w:cstheme="minorHAnsi"/>
        </w:rPr>
        <w:t xml:space="preserve"> be realized for acceleration on these </w:t>
      </w:r>
      <w:r w:rsidR="004040B8">
        <w:rPr>
          <w:rFonts w:cstheme="minorHAnsi"/>
        </w:rPr>
        <w:t>goals and</w:t>
      </w:r>
      <w:r w:rsidR="004972D0">
        <w:rPr>
          <w:rFonts w:cstheme="minorHAnsi"/>
        </w:rPr>
        <w:t xml:space="preserve"> </w:t>
      </w:r>
      <w:r w:rsidR="00503321">
        <w:rPr>
          <w:rFonts w:cstheme="minorHAnsi"/>
        </w:rPr>
        <w:t>build the coalitions and take the actions to make this happen</w:t>
      </w:r>
      <w:r w:rsidR="00A24748">
        <w:rPr>
          <w:rStyle w:val="FootnoteReference"/>
          <w:rFonts w:cstheme="minorHAnsi"/>
        </w:rPr>
        <w:footnoteReference w:id="5"/>
      </w:r>
      <w:r w:rsidR="00503321">
        <w:rPr>
          <w:rFonts w:cstheme="minorHAnsi"/>
        </w:rPr>
        <w:t xml:space="preserve">. </w:t>
      </w:r>
    </w:p>
    <w:p w:rsidR="00365296" w:rsidP="008605E7" w:rsidRDefault="00924ACA" w14:paraId="5A563E84" w14:textId="062B62EF">
      <w:pPr>
        <w:spacing w:after="120"/>
        <w:rPr>
          <w:rFonts w:cstheme="minorHAnsi"/>
          <w:b/>
          <w:bCs/>
        </w:rPr>
      </w:pPr>
      <w:r w:rsidRPr="007D3621">
        <w:t xml:space="preserve">The reviews will need to </w:t>
      </w:r>
      <w:r w:rsidRPr="007D3621" w:rsidR="00A776F1">
        <w:t xml:space="preserve">identify </w:t>
      </w:r>
      <w:r w:rsidR="007E573C">
        <w:t xml:space="preserve">evidence backed solutions </w:t>
      </w:r>
      <w:r w:rsidRPr="007D3621" w:rsidR="00A776F1">
        <w:t xml:space="preserve">that leverage interlinkages </w:t>
      </w:r>
      <w:r w:rsidRPr="007D3621" w:rsidR="00820D85">
        <w:t>among</w:t>
      </w:r>
      <w:r w:rsidR="002A1A4C">
        <w:t xml:space="preserve"> </w:t>
      </w:r>
      <w:r w:rsidR="000D560F">
        <w:t>the</w:t>
      </w:r>
      <w:r w:rsidRPr="007D3621" w:rsidR="00A776F1">
        <w:t xml:space="preserve"> SDGs</w:t>
      </w:r>
      <w:r w:rsidRPr="007D3621">
        <w:t xml:space="preserve"> </w:t>
      </w:r>
      <w:r w:rsidRPr="007D3621" w:rsidR="00A776F1">
        <w:t xml:space="preserve">that will have an in-depth </w:t>
      </w:r>
      <w:r w:rsidR="00CB74F9">
        <w:t>review</w:t>
      </w:r>
      <w:r w:rsidRPr="007D3621" w:rsidR="00A776F1">
        <w:t xml:space="preserve"> </w:t>
      </w:r>
      <w:r w:rsidR="00954094">
        <w:t xml:space="preserve">at the HLPF </w:t>
      </w:r>
      <w:r w:rsidRPr="007D3621" w:rsidR="00A776F1">
        <w:t>this year</w:t>
      </w:r>
      <w:r w:rsidR="00CB74F9">
        <w:t xml:space="preserve"> (</w:t>
      </w:r>
      <w:r w:rsidR="00CC7B58">
        <w:t>3, 5</w:t>
      </w:r>
      <w:r w:rsidR="00CB74F9">
        <w:t>,</w:t>
      </w:r>
      <w:r w:rsidR="00CC7B58">
        <w:t xml:space="preserve"> 8, 14 and</w:t>
      </w:r>
      <w:r w:rsidR="00CB74F9">
        <w:t xml:space="preserve"> 17)</w:t>
      </w:r>
      <w:r w:rsidR="000D560F">
        <w:t xml:space="preserve">, and </w:t>
      </w:r>
      <w:r w:rsidR="00A93517">
        <w:t xml:space="preserve">the connections these </w:t>
      </w:r>
      <w:r w:rsidR="004972D0">
        <w:t xml:space="preserve">Goals </w:t>
      </w:r>
      <w:r w:rsidR="00A93517">
        <w:t>have with</w:t>
      </w:r>
      <w:r w:rsidR="002A1A4C">
        <w:t xml:space="preserve"> </w:t>
      </w:r>
      <w:r w:rsidR="000D560F">
        <w:t>the rest of the SDGs</w:t>
      </w:r>
      <w:r w:rsidRPr="007D3621" w:rsidR="00A776F1">
        <w:t>.</w:t>
      </w:r>
      <w:r w:rsidRPr="007D3621" w:rsidR="00C06CB4">
        <w:t xml:space="preserve"> </w:t>
      </w:r>
      <w:r w:rsidRPr="007D3621" w:rsidR="00A776F1">
        <w:t xml:space="preserve"> </w:t>
      </w:r>
      <w:r w:rsidR="00503321">
        <w:rPr>
          <w:rFonts w:cstheme="minorHAnsi"/>
        </w:rPr>
        <w:t xml:space="preserve">This will include taking account </w:t>
      </w:r>
      <w:r w:rsidR="004972D0">
        <w:rPr>
          <w:rFonts w:cstheme="minorHAnsi"/>
        </w:rPr>
        <w:t xml:space="preserve">of </w:t>
      </w:r>
      <w:r w:rsidR="00503321">
        <w:rPr>
          <w:rFonts w:cstheme="minorHAnsi"/>
        </w:rPr>
        <w:t xml:space="preserve">commitments </w:t>
      </w:r>
      <w:r w:rsidR="00F70EEC">
        <w:rPr>
          <w:rFonts w:cstheme="minorHAnsi"/>
        </w:rPr>
        <w:t>on</w:t>
      </w:r>
      <w:r w:rsidR="00503321">
        <w:rPr>
          <w:rFonts w:cstheme="minorHAnsi"/>
        </w:rPr>
        <w:t xml:space="preserve"> SDG </w:t>
      </w:r>
      <w:r w:rsidR="00F70EEC">
        <w:rPr>
          <w:rFonts w:cstheme="minorHAnsi"/>
        </w:rPr>
        <w:t xml:space="preserve">5 </w:t>
      </w:r>
      <w:r w:rsidR="00503321">
        <w:rPr>
          <w:rFonts w:cstheme="minorHAnsi"/>
        </w:rPr>
        <w:t xml:space="preserve">during the </w:t>
      </w:r>
      <w:r w:rsidR="00F70EEC">
        <w:rPr>
          <w:rFonts w:cstheme="minorHAnsi"/>
        </w:rPr>
        <w:t>Comm</w:t>
      </w:r>
      <w:r w:rsidR="00C957CB">
        <w:rPr>
          <w:rFonts w:cstheme="minorHAnsi"/>
        </w:rPr>
        <w:t>ission</w:t>
      </w:r>
      <w:r w:rsidR="00F70EEC">
        <w:rPr>
          <w:rFonts w:cstheme="minorHAnsi"/>
        </w:rPr>
        <w:t xml:space="preserve"> on the Status of women</w:t>
      </w:r>
      <w:r w:rsidR="00C957CB">
        <w:rPr>
          <w:rFonts w:cstheme="minorHAnsi"/>
        </w:rPr>
        <w:t xml:space="preserve">, the </w:t>
      </w:r>
      <w:r w:rsidRPr="00C957CB" w:rsidR="00C957CB">
        <w:rPr>
          <w:rFonts w:cstheme="minorHAnsi"/>
        </w:rPr>
        <w:t xml:space="preserve">forthcoming thirtieth anniversary of the Beijing Declaration </w:t>
      </w:r>
      <w:r w:rsidR="006A4C4B">
        <w:rPr>
          <w:rFonts w:cstheme="minorHAnsi"/>
        </w:rPr>
        <w:t>(Beijin</w:t>
      </w:r>
      <w:r w:rsidR="00EE3AFB">
        <w:rPr>
          <w:rFonts w:cstheme="minorHAnsi"/>
        </w:rPr>
        <w:t>g</w:t>
      </w:r>
      <w:r w:rsidR="006A4C4B">
        <w:rPr>
          <w:rFonts w:cstheme="minorHAnsi"/>
        </w:rPr>
        <w:t xml:space="preserve"> +30), </w:t>
      </w:r>
      <w:r w:rsidR="00503321">
        <w:rPr>
          <w:rFonts w:cstheme="minorHAnsi"/>
        </w:rPr>
        <w:t xml:space="preserve">and </w:t>
      </w:r>
      <w:r w:rsidR="00F70EEC">
        <w:rPr>
          <w:rFonts w:cstheme="minorHAnsi"/>
        </w:rPr>
        <w:t xml:space="preserve">on </w:t>
      </w:r>
      <w:r w:rsidR="00365296">
        <w:rPr>
          <w:rFonts w:cstheme="minorHAnsi"/>
        </w:rPr>
        <w:t>SDG 14</w:t>
      </w:r>
      <w:r w:rsidR="00D84261">
        <w:rPr>
          <w:rFonts w:cstheme="minorHAnsi"/>
        </w:rPr>
        <w:t xml:space="preserve"> in the </w:t>
      </w:r>
      <w:r w:rsidRPr="00D84261" w:rsidR="00D84261">
        <w:rPr>
          <w:rFonts w:cstheme="minorHAnsi"/>
        </w:rPr>
        <w:t>Kunming-Montreal Global Biodiversity Framework</w:t>
      </w:r>
      <w:r w:rsidR="00D84261">
        <w:rPr>
          <w:rFonts w:cstheme="minorHAnsi"/>
        </w:rPr>
        <w:t xml:space="preserve"> and</w:t>
      </w:r>
      <w:r w:rsidR="00365296">
        <w:rPr>
          <w:rFonts w:cstheme="minorHAnsi"/>
        </w:rPr>
        <w:t xml:space="preserve"> at </w:t>
      </w:r>
      <w:r w:rsidR="00503321">
        <w:rPr>
          <w:rFonts w:cstheme="minorHAnsi"/>
        </w:rPr>
        <w:t>the</w:t>
      </w:r>
      <w:r w:rsidR="00F70EEC">
        <w:rPr>
          <w:rFonts w:cstheme="minorHAnsi"/>
        </w:rPr>
        <w:t xml:space="preserve"> upcoming Oceans Conference</w:t>
      </w:r>
      <w:r w:rsidR="00365296">
        <w:rPr>
          <w:rFonts w:cstheme="minorHAnsi"/>
        </w:rPr>
        <w:t xml:space="preserve"> 2025</w:t>
      </w:r>
      <w:r w:rsidR="00503321">
        <w:rPr>
          <w:rFonts w:cstheme="minorHAnsi"/>
        </w:rPr>
        <w:t xml:space="preserve"> and COP 2</w:t>
      </w:r>
      <w:r w:rsidR="00365296">
        <w:rPr>
          <w:rFonts w:cstheme="minorHAnsi"/>
        </w:rPr>
        <w:t>9</w:t>
      </w:r>
      <w:r w:rsidR="00503321">
        <w:rPr>
          <w:rFonts w:cstheme="minorHAnsi"/>
        </w:rPr>
        <w:t>.</w:t>
      </w:r>
      <w:r w:rsidR="00411B6D">
        <w:rPr>
          <w:rFonts w:cstheme="minorHAnsi"/>
        </w:rPr>
        <w:t xml:space="preserve"> It will </w:t>
      </w:r>
      <w:r w:rsidR="004040B8">
        <w:rPr>
          <w:rFonts w:cstheme="minorHAnsi"/>
        </w:rPr>
        <w:t xml:space="preserve">also include considering opportunities to build from discussions leading up to </w:t>
      </w:r>
      <w:r w:rsidR="004040B8">
        <w:rPr>
          <w:rFonts w:cstheme="minorHAnsi"/>
          <w:shd w:val="clear" w:color="auto" w:fill="FFFFFF"/>
        </w:rPr>
        <w:t>the 4</w:t>
      </w:r>
      <w:r w:rsidRPr="005C668B" w:rsidR="004040B8">
        <w:rPr>
          <w:rFonts w:cstheme="minorHAnsi"/>
          <w:shd w:val="clear" w:color="auto" w:fill="FFFFFF"/>
          <w:vertAlign w:val="superscript"/>
        </w:rPr>
        <w:t>th</w:t>
      </w:r>
      <w:r w:rsidR="004040B8">
        <w:rPr>
          <w:rFonts w:cstheme="minorHAnsi"/>
          <w:shd w:val="clear" w:color="auto" w:fill="FFFFFF"/>
        </w:rPr>
        <w:t xml:space="preserve"> International Conference on Financing for Development (</w:t>
      </w:r>
      <w:r w:rsidRPr="0057179B" w:rsidR="004040B8">
        <w:rPr>
          <w:rFonts w:cstheme="minorHAnsi"/>
          <w:shd w:val="clear" w:color="auto" w:fill="FFFFFF"/>
        </w:rPr>
        <w:t>F</w:t>
      </w:r>
      <w:r w:rsidR="004040B8">
        <w:rPr>
          <w:rFonts w:cstheme="minorHAnsi"/>
          <w:shd w:val="clear" w:color="auto" w:fill="FFFFFF"/>
        </w:rPr>
        <w:t>f</w:t>
      </w:r>
      <w:r w:rsidRPr="0057179B" w:rsidR="004040B8">
        <w:rPr>
          <w:rFonts w:cstheme="minorHAnsi"/>
          <w:shd w:val="clear" w:color="auto" w:fill="FFFFFF"/>
        </w:rPr>
        <w:t>D4</w:t>
      </w:r>
      <w:r w:rsidR="004040B8">
        <w:rPr>
          <w:rFonts w:cstheme="minorHAnsi"/>
          <w:shd w:val="clear" w:color="auto" w:fill="FFFFFF"/>
        </w:rPr>
        <w:t>) and</w:t>
      </w:r>
      <w:r w:rsidRPr="0057179B" w:rsidR="004040B8">
        <w:rPr>
          <w:rFonts w:cstheme="minorHAnsi"/>
          <w:shd w:val="clear" w:color="auto" w:fill="FFFFFF"/>
        </w:rPr>
        <w:t xml:space="preserve"> the Second World Summit</w:t>
      </w:r>
      <w:r w:rsidR="004040B8">
        <w:rPr>
          <w:rFonts w:cstheme="minorHAnsi"/>
          <w:shd w:val="clear" w:color="auto" w:fill="FFFFFF"/>
        </w:rPr>
        <w:t xml:space="preserve"> for Social Development.</w:t>
      </w:r>
      <w:r w:rsidR="004040B8">
        <w:rPr>
          <w:rFonts w:cstheme="minorHAnsi"/>
        </w:rPr>
        <w:t xml:space="preserve"> </w:t>
      </w:r>
      <w:r w:rsidR="0086113C">
        <w:rPr>
          <w:rFonts w:cstheme="minorHAnsi"/>
        </w:rPr>
        <w:t xml:space="preserve"> </w:t>
      </w:r>
      <w:r w:rsidR="00B22DA0">
        <w:rPr>
          <w:rFonts w:cstheme="minorHAnsi"/>
        </w:rPr>
        <w:t>T</w:t>
      </w:r>
      <w:r w:rsidR="00F9015E">
        <w:rPr>
          <w:rFonts w:cstheme="minorHAnsi"/>
        </w:rPr>
        <w:t xml:space="preserve">he findings from these reviews will also </w:t>
      </w:r>
      <w:r w:rsidR="00AC337E">
        <w:rPr>
          <w:rFonts w:cstheme="minorHAnsi"/>
        </w:rPr>
        <w:t>be instrumental to</w:t>
      </w:r>
      <w:r w:rsidR="001B290F">
        <w:rPr>
          <w:rFonts w:cstheme="minorHAnsi"/>
        </w:rPr>
        <w:t xml:space="preserve"> </w:t>
      </w:r>
      <w:proofErr w:type="gramStart"/>
      <w:r w:rsidR="001B290F">
        <w:rPr>
          <w:rFonts w:cstheme="minorHAnsi"/>
        </w:rPr>
        <w:t>plan for the future</w:t>
      </w:r>
      <w:proofErr w:type="gramEnd"/>
      <w:r w:rsidR="00411B6D">
        <w:rPr>
          <w:rFonts w:cstheme="minorHAnsi"/>
        </w:rPr>
        <w:t xml:space="preserve"> including by</w:t>
      </w:r>
      <w:r w:rsidR="00AC337E">
        <w:rPr>
          <w:rFonts w:cstheme="minorHAnsi"/>
        </w:rPr>
        <w:t xml:space="preserve"> inform</w:t>
      </w:r>
      <w:r w:rsidR="00411B6D">
        <w:rPr>
          <w:rFonts w:cstheme="minorHAnsi"/>
        </w:rPr>
        <w:t>ing</w:t>
      </w:r>
      <w:r w:rsidR="00AC337E">
        <w:rPr>
          <w:rFonts w:cstheme="minorHAnsi"/>
        </w:rPr>
        <w:t xml:space="preserve"> </w:t>
      </w:r>
      <w:r w:rsidR="00BE0A79">
        <w:rPr>
          <w:rFonts w:cstheme="minorHAnsi"/>
        </w:rPr>
        <w:t xml:space="preserve">Member State </w:t>
      </w:r>
      <w:r w:rsidR="00B22DA0">
        <w:rPr>
          <w:rFonts w:cstheme="minorHAnsi"/>
        </w:rPr>
        <w:t xml:space="preserve">discussions at the 2027 SDG </w:t>
      </w:r>
      <w:r w:rsidR="00B22DA0">
        <w:rPr>
          <w:rFonts w:cstheme="minorHAnsi"/>
        </w:rPr>
        <w:lastRenderedPageBreak/>
        <w:t xml:space="preserve">Summit </w:t>
      </w:r>
      <w:r w:rsidR="0027590F">
        <w:rPr>
          <w:rFonts w:cstheme="minorHAnsi"/>
        </w:rPr>
        <w:t xml:space="preserve">on </w:t>
      </w:r>
      <w:r w:rsidR="001B290F">
        <w:rPr>
          <w:rFonts w:cstheme="minorHAnsi"/>
        </w:rPr>
        <w:t xml:space="preserve">how to “advance sustainable development by 2030 and beyond” </w:t>
      </w:r>
      <w:r w:rsidR="00411B6D">
        <w:rPr>
          <w:rFonts w:cstheme="minorHAnsi"/>
        </w:rPr>
        <w:t>as</w:t>
      </w:r>
      <w:r w:rsidR="0027590F">
        <w:rPr>
          <w:rFonts w:cstheme="minorHAnsi"/>
        </w:rPr>
        <w:t xml:space="preserve"> called for in the Pact of the Future</w:t>
      </w:r>
      <w:r w:rsidR="00AC337E">
        <w:rPr>
          <w:rFonts w:cstheme="minorHAnsi"/>
        </w:rPr>
        <w:t>.</w:t>
      </w:r>
    </w:p>
    <w:p w:rsidR="00365296" w:rsidP="00365296" w:rsidRDefault="00365296" w14:paraId="2B814CEE" w14:textId="77777777">
      <w:pPr>
        <w:spacing w:after="120"/>
        <w:rPr>
          <w:rFonts w:cstheme="minorHAnsi"/>
          <w:b/>
          <w:bCs/>
        </w:rPr>
      </w:pPr>
      <w:r w:rsidRPr="007E7A0A">
        <w:rPr>
          <w:rFonts w:cstheme="minorHAnsi"/>
          <w:b/>
          <w:bCs/>
        </w:rPr>
        <w:t xml:space="preserve">SDG </w:t>
      </w:r>
      <w:r>
        <w:rPr>
          <w:rFonts w:cstheme="minorHAnsi"/>
          <w:b/>
          <w:bCs/>
        </w:rPr>
        <w:t>3</w:t>
      </w:r>
      <w:r w:rsidRPr="007E7A0A">
        <w:rPr>
          <w:rFonts w:cstheme="minorHAnsi"/>
          <w:b/>
          <w:bCs/>
        </w:rPr>
        <w:t xml:space="preserve"> </w:t>
      </w:r>
      <w:r>
        <w:rPr>
          <w:rFonts w:cstheme="minorHAnsi"/>
          <w:b/>
          <w:bCs/>
        </w:rPr>
        <w:t>–</w:t>
      </w:r>
      <w:r w:rsidRPr="007E7A0A">
        <w:rPr>
          <w:rFonts w:cstheme="minorHAnsi"/>
          <w:b/>
          <w:bCs/>
        </w:rPr>
        <w:t xml:space="preserve"> </w:t>
      </w:r>
      <w:r>
        <w:rPr>
          <w:rFonts w:cstheme="minorHAnsi"/>
          <w:b/>
          <w:bCs/>
        </w:rPr>
        <w:t>Good health and well-being</w:t>
      </w:r>
    </w:p>
    <w:p w:rsidRPr="00365296" w:rsidR="00845B5B" w:rsidP="00FA1E09" w:rsidRDefault="00C83BBD" w14:paraId="7313E120" w14:textId="25973B2D">
      <w:pPr>
        <w:spacing w:after="120"/>
        <w:rPr>
          <w:rFonts w:cstheme="minorHAnsi"/>
          <w:b/>
          <w:bCs/>
          <w:lang w:val="en-US"/>
        </w:rPr>
      </w:pPr>
      <w:r w:rsidRPr="00C83BBD">
        <w:rPr>
          <w:rFonts w:cstheme="minorHAnsi"/>
        </w:rPr>
        <w:t>The COVID-19 pandemic significantly affected global health, reversing steady progress in life expectancy over the past two decades. Prior to the pandemic, global life expectancy rose consistently, from 66.8 years in 2000 to 73.1 years in 2019, reflecting years of improvements in health and related areas. COVID-19 swiftly reversed this positive trend, with global life expectancy plummeting to 71.4 years by 2021, back to the level of 2012.</w:t>
      </w:r>
    </w:p>
    <w:p w:rsidR="00B72188" w:rsidP="00FA1E09" w:rsidRDefault="00B72188" w14:paraId="2180B4C2" w14:textId="054BAA9F">
      <w:pPr>
        <w:spacing w:after="120"/>
        <w:rPr>
          <w:rFonts w:cstheme="minorHAnsi"/>
        </w:rPr>
      </w:pPr>
      <w:r>
        <w:rPr>
          <w:rFonts w:cstheme="minorHAnsi"/>
        </w:rPr>
        <w:t>The pandemic caused major setbacks in vaccination</w:t>
      </w:r>
      <w:r w:rsidR="0097487B">
        <w:rPr>
          <w:rFonts w:cstheme="minorHAnsi"/>
        </w:rPr>
        <w:t xml:space="preserve"> rates</w:t>
      </w:r>
      <w:r>
        <w:rPr>
          <w:rFonts w:cstheme="minorHAnsi"/>
        </w:rPr>
        <w:t xml:space="preserve">. </w:t>
      </w:r>
      <w:r w:rsidRPr="00B72188">
        <w:rPr>
          <w:rFonts w:cstheme="minorHAnsi"/>
        </w:rPr>
        <w:t>Between 2000 and 2019, the proportion of children receiving three doses of the diphtheria, tetanus and pertussis (DTP3) vaccine rose from 72 to 86 per cent, then dipped to 81 per cent in 2021 before rebounding to 84 per cent in 2022. In 2022, 20.5 million children missed at least one routine vaccine and 14.3 million received no vaccines at all.</w:t>
      </w:r>
      <w:r w:rsidR="00322DCE">
        <w:rPr>
          <w:rFonts w:cstheme="minorHAnsi"/>
        </w:rPr>
        <w:t xml:space="preserve"> The inequitable distribution of the COVID-19 vaccine exposed large gaps in the capacity of developing countries to produce and distribute vaccines and therapeutics in the event of a pandemic. </w:t>
      </w:r>
      <w:r w:rsidR="00D7561F">
        <w:rPr>
          <w:rFonts w:cstheme="minorHAnsi"/>
        </w:rPr>
        <w:t xml:space="preserve">The concentration </w:t>
      </w:r>
      <w:r w:rsidR="00CC13DA">
        <w:rPr>
          <w:rFonts w:cstheme="minorHAnsi"/>
        </w:rPr>
        <w:t>of intellectual</w:t>
      </w:r>
      <w:r w:rsidR="00D7561F">
        <w:rPr>
          <w:rFonts w:cstheme="minorHAnsi"/>
        </w:rPr>
        <w:t xml:space="preserve"> property rights in private hands in rich countries can be a major impediment in the fight against future </w:t>
      </w:r>
      <w:r w:rsidR="00EE084A">
        <w:rPr>
          <w:rFonts w:cstheme="minorHAnsi"/>
        </w:rPr>
        <w:t>health crises</w:t>
      </w:r>
      <w:r w:rsidR="006A574F">
        <w:rPr>
          <w:rStyle w:val="FootnoteReference"/>
          <w:rFonts w:cstheme="minorHAnsi"/>
        </w:rPr>
        <w:footnoteReference w:id="6"/>
      </w:r>
      <w:r w:rsidR="00EE084A">
        <w:rPr>
          <w:rFonts w:cstheme="minorHAnsi"/>
        </w:rPr>
        <w:t>.</w:t>
      </w:r>
    </w:p>
    <w:p w:rsidR="00EA0002" w:rsidP="00EA0002" w:rsidRDefault="00EA0002" w14:paraId="68BF4CF6" w14:textId="0EC67D20">
      <w:pPr>
        <w:spacing w:after="120"/>
        <w:rPr>
          <w:rFonts w:cstheme="minorHAnsi"/>
        </w:rPr>
      </w:pPr>
      <w:r>
        <w:rPr>
          <w:rFonts w:cstheme="minorHAnsi"/>
        </w:rPr>
        <w:t>Even before the pandemic, p</w:t>
      </w:r>
      <w:r w:rsidRPr="003A6513">
        <w:rPr>
          <w:rFonts w:cstheme="minorHAnsi"/>
        </w:rPr>
        <w:t xml:space="preserve">rogress towards universal health coverage </w:t>
      </w:r>
      <w:r w:rsidR="00F87A00">
        <w:rPr>
          <w:rFonts w:cstheme="minorHAnsi"/>
        </w:rPr>
        <w:t xml:space="preserve">had </w:t>
      </w:r>
      <w:r w:rsidRPr="003A6513">
        <w:rPr>
          <w:rFonts w:cstheme="minorHAnsi"/>
        </w:rPr>
        <w:t>slowed</w:t>
      </w:r>
      <w:r>
        <w:rPr>
          <w:rFonts w:cstheme="minorHAnsi"/>
        </w:rPr>
        <w:t>.</w:t>
      </w:r>
      <w:r w:rsidRPr="003A6513">
        <w:rPr>
          <w:rFonts w:cstheme="minorHAnsi"/>
        </w:rPr>
        <w:t xml:space="preserve"> Essential health service coverage is measured using an index, reported on a score of 0 to 100, based on 14 indicators across four domains: reproductive, maternal, newborn and child health; infectious diseases; non-communicable diseases; and service capacity and access. The global score on the index increased remarkably from 45 in 2000 to 65 in 2015. </w:t>
      </w:r>
      <w:r>
        <w:rPr>
          <w:rFonts w:cstheme="minorHAnsi"/>
        </w:rPr>
        <w:t>Minimal</w:t>
      </w:r>
      <w:r w:rsidRPr="003A6513">
        <w:rPr>
          <w:rFonts w:cstheme="minorHAnsi"/>
        </w:rPr>
        <w:t xml:space="preserve"> progress after 2015 left about 4.5 billion people without coverage in 2021, especially in rural and poorer populations. Financial hardship due to out-of-pocket health spending has worsened since 2015, affecting 2 billion people in 2019. </w:t>
      </w:r>
      <w:r w:rsidRPr="00FB06AA">
        <w:rPr>
          <w:rFonts w:cstheme="minorHAnsi"/>
        </w:rPr>
        <w:t>The proportion of the population with catastrophic expenditures increased from 12.6 per cent in 2015 to 13.5 per cent in 2019.</w:t>
      </w:r>
    </w:p>
    <w:p w:rsidR="00273F4E" w:rsidP="009A1EAB" w:rsidRDefault="00273F4E" w14:paraId="356717B8" w14:textId="5CA61ABC">
      <w:pPr>
        <w:spacing w:after="120"/>
        <w:rPr>
          <w:b/>
          <w:bCs/>
        </w:rPr>
      </w:pPr>
      <w:r>
        <w:rPr>
          <w:rFonts w:cstheme="minorHAnsi"/>
        </w:rPr>
        <w:t xml:space="preserve">There are some pockets of success. </w:t>
      </w:r>
      <w:r w:rsidRPr="00273F4E">
        <w:rPr>
          <w:rFonts w:cstheme="minorHAnsi"/>
        </w:rPr>
        <w:t>Global under-5 deaths reached a historic low of 4.9 million in 2022, down from 9.9 million in 2000 and 6.0 million in 2015. The under-5 mortality rate was 37 deaths per 1,000 live births in 2022, a 51 per cent reduction since 2000 and a 14 per cent reduction from 2015.</w:t>
      </w:r>
      <w:r w:rsidR="009F7D0A">
        <w:rPr>
          <w:rFonts w:cstheme="minorHAnsi"/>
        </w:rPr>
        <w:t xml:space="preserve"> </w:t>
      </w:r>
      <w:r w:rsidRPr="009F7D0A" w:rsidR="009F7D0A">
        <w:rPr>
          <w:rFonts w:cstheme="minorHAnsi"/>
        </w:rPr>
        <w:t>As of 2022, 134 countries had already met the target</w:t>
      </w:r>
      <w:r w:rsidR="009F7D0A">
        <w:rPr>
          <w:rFonts w:cstheme="minorHAnsi"/>
        </w:rPr>
        <w:t xml:space="preserve"> </w:t>
      </w:r>
      <w:r w:rsidR="00F3158E">
        <w:rPr>
          <w:rFonts w:cstheme="minorHAnsi"/>
        </w:rPr>
        <w:t>for under-5 mortality</w:t>
      </w:r>
      <w:r w:rsidRPr="009F7D0A" w:rsidR="009F7D0A">
        <w:rPr>
          <w:rFonts w:cstheme="minorHAnsi"/>
        </w:rPr>
        <w:t>. Seven more were on track but 59 countries, nearly three quarters of which are in sub-Saharan Africa, will need faster progress to meet the target.</w:t>
      </w:r>
      <w:r w:rsidR="009A1EAB">
        <w:rPr>
          <w:rFonts w:cstheme="minorHAnsi"/>
        </w:rPr>
        <w:t xml:space="preserve"> Additionally, there was a slight increase in t</w:t>
      </w:r>
      <w:r w:rsidRPr="009A1EAB" w:rsidR="009A1EAB">
        <w:rPr>
          <w:rFonts w:cstheme="minorHAnsi"/>
        </w:rPr>
        <w:t>he proportion of women of reproductive age who have their need for family planning satisfied with modern methods between 2015 and 2024.</w:t>
      </w:r>
    </w:p>
    <w:p w:rsidR="00125403" w:rsidP="00027631" w:rsidRDefault="00A92C63" w14:paraId="012F4F43" w14:textId="66075406">
      <w:pPr>
        <w:spacing w:after="120"/>
      </w:pPr>
      <w:r>
        <w:t>The review of SDG</w:t>
      </w:r>
      <w:r w:rsidR="00ED71C6">
        <w:t xml:space="preserve"> </w:t>
      </w:r>
      <w:r w:rsidR="00F87A00">
        <w:t>3</w:t>
      </w:r>
      <w:r>
        <w:t xml:space="preserve"> for the </w:t>
      </w:r>
      <w:r w:rsidR="00ED71C6">
        <w:t xml:space="preserve">2025 </w:t>
      </w:r>
      <w:r>
        <w:t xml:space="preserve">HLPF will consider </w:t>
      </w:r>
      <w:r w:rsidR="00090A07">
        <w:t>how multiple crises</w:t>
      </w:r>
      <w:r w:rsidR="004634D3">
        <w:t xml:space="preserve"> have</w:t>
      </w:r>
      <w:r>
        <w:t xml:space="preserve"> impacted progress on the Goal since it was last reviewed</w:t>
      </w:r>
      <w:r w:rsidR="00BE660B">
        <w:t xml:space="preserve"> while taking stock of new </w:t>
      </w:r>
      <w:r w:rsidR="00125683">
        <w:t xml:space="preserve">commitments, </w:t>
      </w:r>
      <w:r w:rsidR="00BE660B">
        <w:t xml:space="preserve">opportunities and </w:t>
      </w:r>
      <w:r w:rsidR="00125683">
        <w:t>initiatives that show promise for the years ahead</w:t>
      </w:r>
      <w:r w:rsidR="008B1180">
        <w:t xml:space="preserve"> with special attention to follow up on commitments made during the SDG Summit</w:t>
      </w:r>
      <w:r w:rsidR="00333F99">
        <w:t xml:space="preserve">. </w:t>
      </w:r>
      <w:r w:rsidR="00546B1C">
        <w:t xml:space="preserve"> </w:t>
      </w:r>
      <w:r w:rsidR="00BE660B">
        <w:t xml:space="preserve">It will </w:t>
      </w:r>
      <w:r w:rsidR="00C10FB9">
        <w:t>highlight</w:t>
      </w:r>
      <w:r w:rsidR="00070AD8">
        <w:t xml:space="preserve"> </w:t>
      </w:r>
      <w:r w:rsidR="00ED083E">
        <w:t xml:space="preserve">additional steps </w:t>
      </w:r>
      <w:r w:rsidR="00070AD8">
        <w:t>leaders</w:t>
      </w:r>
      <w:r w:rsidR="00ED083E">
        <w:t xml:space="preserve"> and other actors</w:t>
      </w:r>
      <w:r w:rsidR="00070AD8">
        <w:t xml:space="preserve"> can </w:t>
      </w:r>
      <w:r w:rsidR="00ED083E">
        <w:t xml:space="preserve">take </w:t>
      </w:r>
      <w:r w:rsidR="00070AD8">
        <w:t xml:space="preserve">to bring about </w:t>
      </w:r>
      <w:r w:rsidR="00A50BDE">
        <w:t>systemic</w:t>
      </w:r>
      <w:r>
        <w:t xml:space="preserve"> </w:t>
      </w:r>
      <w:r w:rsidR="00A50BDE">
        <w:t>transformations</w:t>
      </w:r>
      <w:r w:rsidR="00415636">
        <w:t xml:space="preserve"> in health</w:t>
      </w:r>
      <w:r w:rsidR="00A50BDE">
        <w:t xml:space="preserve"> </w:t>
      </w:r>
      <w:r w:rsidR="0084005F">
        <w:t xml:space="preserve">that, building on synergies with other goals, can fasten the pace on </w:t>
      </w:r>
      <w:r w:rsidR="00990CF4">
        <w:t>better health</w:t>
      </w:r>
      <w:r w:rsidR="00085C67">
        <w:t xml:space="preserve"> and well-being.</w:t>
      </w:r>
      <w:r w:rsidR="00D016A9">
        <w:t xml:space="preserve"> </w:t>
      </w:r>
      <w:r w:rsidR="00CD2F16">
        <w:t xml:space="preserve">This would include links between health and climate action and preservation of </w:t>
      </w:r>
      <w:r w:rsidR="003201FE">
        <w:t>the planet, as well as the many links between gender equality and health</w:t>
      </w:r>
      <w:r w:rsidR="00CD2F16">
        <w:t xml:space="preserve"> </w:t>
      </w:r>
      <w:r w:rsidR="003201FE">
        <w:t xml:space="preserve">and well-being among other important spaces for synergies. </w:t>
      </w:r>
      <w:r w:rsidR="00D016A9">
        <w:t xml:space="preserve">It will take stock of the preparedness on future global </w:t>
      </w:r>
      <w:r w:rsidR="00D016A9">
        <w:lastRenderedPageBreak/>
        <w:t>health events and what can be done</w:t>
      </w:r>
      <w:r w:rsidR="00CC13DA">
        <w:t>, including knowledge and technology transfer, and the role of open science,</w:t>
      </w:r>
      <w:r w:rsidR="00D016A9">
        <w:t xml:space="preserve"> to minimize the health and economic damage from these.</w:t>
      </w:r>
      <w:r w:rsidR="00451A24">
        <w:t xml:space="preserve"> The </w:t>
      </w:r>
      <w:r w:rsidR="00AA2892">
        <w:t xml:space="preserve">review may draw from </w:t>
      </w:r>
      <w:r w:rsidR="00027631">
        <w:t xml:space="preserve">related events such as </w:t>
      </w:r>
      <w:r w:rsidRPr="00027631" w:rsidR="00027631">
        <w:t>the Second Global Conference on Air Pollution and Health and the Fourth Global Ministerial Conference on Road Safety</w:t>
      </w:r>
      <w:r w:rsidR="00027631">
        <w:t>.</w:t>
      </w:r>
    </w:p>
    <w:p w:rsidRPr="00FA1E09" w:rsidR="007D3621" w:rsidP="00FA1E09" w:rsidRDefault="001D3645" w14:paraId="63E42A4E" w14:textId="7DFD38C8">
      <w:pPr>
        <w:spacing w:after="120"/>
        <w:rPr>
          <w:rFonts w:cstheme="minorHAnsi"/>
          <w:b/>
          <w:bCs/>
        </w:rPr>
      </w:pPr>
      <w:r w:rsidRPr="004B5D25">
        <w:rPr>
          <w:rFonts w:cstheme="minorHAnsi"/>
          <w:b/>
          <w:bCs/>
        </w:rPr>
        <w:t xml:space="preserve">SDG </w:t>
      </w:r>
      <w:r w:rsidR="008B451B">
        <w:rPr>
          <w:rFonts w:cstheme="minorHAnsi"/>
          <w:b/>
          <w:bCs/>
        </w:rPr>
        <w:t>5</w:t>
      </w:r>
      <w:r w:rsidRPr="004B5D25" w:rsidR="00845C61">
        <w:rPr>
          <w:rFonts w:cstheme="minorHAnsi"/>
          <w:b/>
          <w:bCs/>
        </w:rPr>
        <w:t xml:space="preserve"> </w:t>
      </w:r>
      <w:r w:rsidR="00085C67">
        <w:rPr>
          <w:rFonts w:cstheme="minorHAnsi"/>
          <w:b/>
          <w:bCs/>
        </w:rPr>
        <w:t>–</w:t>
      </w:r>
      <w:r w:rsidRPr="004B5D25">
        <w:rPr>
          <w:rFonts w:cstheme="minorHAnsi"/>
          <w:b/>
          <w:bCs/>
        </w:rPr>
        <w:t xml:space="preserve"> </w:t>
      </w:r>
      <w:r w:rsidR="00085C67">
        <w:rPr>
          <w:rFonts w:cstheme="minorHAnsi"/>
          <w:b/>
          <w:bCs/>
        </w:rPr>
        <w:t>Gender Equality</w:t>
      </w:r>
    </w:p>
    <w:p w:rsidR="00D17F78" w:rsidP="00FA1E09" w:rsidRDefault="000A33CC" w14:paraId="212BC932" w14:textId="7AB62002">
      <w:pPr>
        <w:spacing w:after="120"/>
      </w:pPr>
      <w:r w:rsidRPr="000A33CC">
        <w:t>The world continues to lag in its pursuit of gender equality by 2030.</w:t>
      </w:r>
      <w:r w:rsidR="00184A3C">
        <w:t xml:space="preserve"> Women’s participation lags in</w:t>
      </w:r>
      <w:r w:rsidR="00CC4E62">
        <w:t xml:space="preserve"> </w:t>
      </w:r>
      <w:r w:rsidR="00184A3C">
        <w:t>political representation</w:t>
      </w:r>
      <w:r w:rsidR="00CC4E62">
        <w:t xml:space="preserve"> and the labour market</w:t>
      </w:r>
      <w:r w:rsidR="00184A3C">
        <w:t xml:space="preserve">. </w:t>
      </w:r>
      <w:r w:rsidRPr="000A6A64" w:rsidR="000A6A64">
        <w:t>As of 1 January 2024, women occupied 26.9 per cent of seats in national parliaments, up from 22.3 per cent in 2015.</w:t>
      </w:r>
      <w:r w:rsidR="000A6A64">
        <w:t xml:space="preserve"> </w:t>
      </w:r>
      <w:r w:rsidRPr="000A6A64" w:rsidR="000A6A64">
        <w:t>In local government, women occupied 35.5 per cent of elected seats in 2023.</w:t>
      </w:r>
    </w:p>
    <w:p w:rsidR="00CA66D1" w:rsidP="00184A3C" w:rsidRDefault="00184A3C" w14:paraId="609B460C" w14:textId="3FB809B4">
      <w:pPr>
        <w:spacing w:after="120"/>
      </w:pPr>
      <w:r w:rsidRPr="0052013E">
        <w:t xml:space="preserve">Heavy burdens of unpaid domestic and care work trap women in poverty and inequality. </w:t>
      </w:r>
      <w:r>
        <w:t xml:space="preserve"> </w:t>
      </w:r>
      <w:r w:rsidRPr="0052013E">
        <w:t>On average, each day, women spend 2.5 times more hours on unpaid domestic and care work than men.</w:t>
      </w:r>
      <w:r>
        <w:rPr>
          <w:b/>
          <w:bCs/>
        </w:rPr>
        <w:t xml:space="preserve"> </w:t>
      </w:r>
      <w:r w:rsidRPr="0052013E">
        <w:t>Th</w:t>
      </w:r>
      <w:r>
        <w:t xml:space="preserve">e </w:t>
      </w:r>
      <w:r w:rsidRPr="0052013E">
        <w:t>disproportionate burden</w:t>
      </w:r>
      <w:r>
        <w:t xml:space="preserve"> on women</w:t>
      </w:r>
      <w:r w:rsidRPr="0052013E">
        <w:t xml:space="preserve"> is </w:t>
      </w:r>
      <w:r>
        <w:t>even worse</w:t>
      </w:r>
      <w:r w:rsidRPr="0052013E">
        <w:t xml:space="preserve"> in lower-income households, contributing to poverty, inequality and precariousness, including by limiting labour-market participation. </w:t>
      </w:r>
      <w:r w:rsidRPr="00CA66D1" w:rsidR="00CA66D1">
        <w:t xml:space="preserve">Overall, 24.3 million more females live in extreme poverty compared to males. By 2030, a projected 8.1 per cent of females (compared to 7.6 per cent of males) will linger in extreme poverty, </w:t>
      </w:r>
      <w:r w:rsidR="00A32C15">
        <w:t xml:space="preserve">with gender inequalities </w:t>
      </w:r>
      <w:r w:rsidR="000E18A5">
        <w:t xml:space="preserve">contributing toward </w:t>
      </w:r>
      <w:r w:rsidRPr="00CA66D1" w:rsidR="00CA66D1">
        <w:t xml:space="preserve">missing the </w:t>
      </w:r>
      <w:r w:rsidR="000E18A5">
        <w:t xml:space="preserve">central </w:t>
      </w:r>
      <w:r w:rsidRPr="00CA66D1" w:rsidR="00CA66D1">
        <w:t>SDG target</w:t>
      </w:r>
      <w:r w:rsidR="00CA66D1">
        <w:rPr>
          <w:rStyle w:val="FootnoteReference"/>
        </w:rPr>
        <w:footnoteReference w:id="7"/>
      </w:r>
      <w:r w:rsidRPr="00CA66D1" w:rsidR="00CA66D1">
        <w:t>.</w:t>
      </w:r>
    </w:p>
    <w:p w:rsidR="00184A3C" w:rsidP="00184A3C" w:rsidRDefault="00BA240C" w14:paraId="2AEEB029" w14:textId="2393D032">
      <w:pPr>
        <w:spacing w:after="120"/>
      </w:pPr>
      <w:r>
        <w:t xml:space="preserve">When women participate, they find narrower avenues for advancement. </w:t>
      </w:r>
      <w:r w:rsidRPr="00466AA6" w:rsidR="00466AA6">
        <w:t>While gender gaps have closed at all levels of education globally, upper-secondary disparities remain concerning in three of eight regions</w:t>
      </w:r>
      <w:r w:rsidR="00606954">
        <w:rPr>
          <w:rStyle w:val="FootnoteReference"/>
        </w:rPr>
        <w:footnoteReference w:id="8"/>
      </w:r>
      <w:r w:rsidRPr="00466AA6" w:rsidR="00466AA6">
        <w:t xml:space="preserve">. </w:t>
      </w:r>
      <w:r w:rsidRPr="00D17F78" w:rsidR="00184A3C">
        <w:t xml:space="preserve">While women </w:t>
      </w:r>
      <w:r w:rsidR="000E18A5">
        <w:t>account for</w:t>
      </w:r>
      <w:r w:rsidRPr="00D17F78" w:rsidR="000E18A5">
        <w:t xml:space="preserve"> </w:t>
      </w:r>
      <w:r w:rsidRPr="00D17F78" w:rsidR="00184A3C">
        <w:t>40 per cent of global employment, they only occupied 27.5 per cent of managerial positions in 2022, the same share as in 2016.</w:t>
      </w:r>
      <w:r w:rsidR="009E3640">
        <w:t xml:space="preserve"> </w:t>
      </w:r>
      <w:r w:rsidRPr="009E3640" w:rsidR="009E3640">
        <w:t>Nearly all countries have gender gaps in digital skills and STEM, which significantly impacts the participation and leadership of women and girls in innovation and digital transformation.</w:t>
      </w:r>
    </w:p>
    <w:p w:rsidR="00184A3C" w:rsidP="00FA1E09" w:rsidRDefault="00800AE4" w14:paraId="665A229C" w14:textId="45BD3E66">
      <w:pPr>
        <w:spacing w:after="120"/>
      </w:pPr>
      <w:r w:rsidRPr="00800AE4">
        <w:t xml:space="preserve">Harmful practices </w:t>
      </w:r>
      <w:r>
        <w:t xml:space="preserve">that target women and girls </w:t>
      </w:r>
      <w:r w:rsidRPr="00800AE4">
        <w:t>are decreasing but not at a rate keeping up with population growth.</w:t>
      </w:r>
      <w:r>
        <w:t xml:space="preserve"> </w:t>
      </w:r>
      <w:r w:rsidRPr="00B67274" w:rsidR="00B67274">
        <w:t>Child marriage and female genital mutilation violate the rights of girls and have lifelong consequences. An estimated 640 million girls and women were married in childhood globally, with one third in India alone. Some progress has been made. One in five girls was married before 18 today compared to one in four 25 years ago; 68 million child marriages were averted in this period. Over 230 million girls and women have undergone female genital mutilation. Some countries have made strides towards ending it, but new estimates show an increase of 30 million cases compared to eight years ago.</w:t>
      </w:r>
      <w:r w:rsidR="00262420">
        <w:t xml:space="preserve"> </w:t>
      </w:r>
      <w:r w:rsidRPr="00A00F19" w:rsidR="00A00F19">
        <w:t>Far too many women still cannot realize the right to decide on their sexual and reproductive health. Violence against women persists, disproportionately affecting those with disabilities.</w:t>
      </w:r>
    </w:p>
    <w:p w:rsidR="00A713AC" w:rsidP="008605E7" w:rsidRDefault="006B7358" w14:paraId="04CB96C5" w14:textId="04CECF85">
      <w:pPr>
        <w:spacing w:after="120"/>
        <w:rPr>
          <w:b/>
          <w:bCs/>
        </w:rPr>
      </w:pPr>
      <w:r>
        <w:t xml:space="preserve">The review of SDG 5 will discuss the </w:t>
      </w:r>
      <w:r w:rsidRPr="006B7358">
        <w:t>sustained commitments</w:t>
      </w:r>
      <w:r>
        <w:t xml:space="preserve"> needed</w:t>
      </w:r>
      <w:r w:rsidRPr="006B7358">
        <w:t xml:space="preserve"> to chang</w:t>
      </w:r>
      <w:r w:rsidR="005B417F">
        <w:t>e</w:t>
      </w:r>
      <w:r w:rsidRPr="006B7358">
        <w:t xml:space="preserve"> biased social norms, </w:t>
      </w:r>
      <w:r w:rsidRPr="006B7358" w:rsidR="00F96EE2">
        <w:t>eliminat</w:t>
      </w:r>
      <w:r w:rsidR="00F96EE2">
        <w:t>e</w:t>
      </w:r>
      <w:r w:rsidRPr="006B7358" w:rsidR="00F96EE2">
        <w:t xml:space="preserve"> </w:t>
      </w:r>
      <w:r w:rsidRPr="006B7358">
        <w:t>harmful practices and abolish discriminatory laws</w:t>
      </w:r>
      <w:r w:rsidR="00983D50">
        <w:t xml:space="preserve">. </w:t>
      </w:r>
      <w:r w:rsidRPr="00983D50" w:rsidR="00983D50">
        <w:t>Enhancing women’s roles in leadership and decision</w:t>
      </w:r>
      <w:r w:rsidR="005B417F">
        <w:t xml:space="preserve"> </w:t>
      </w:r>
      <w:r w:rsidRPr="00983D50" w:rsidR="00983D50">
        <w:t xml:space="preserve">making and adequately scaling up investments in gender equality on national, regional and global scales </w:t>
      </w:r>
      <w:r w:rsidR="00983D50">
        <w:t>will be highlighted.</w:t>
      </w:r>
      <w:r w:rsidR="00A713AC">
        <w:t xml:space="preserve"> T</w:t>
      </w:r>
      <w:r w:rsidRPr="00CD7DE7" w:rsidR="00A713AC">
        <w:t xml:space="preserve">he </w:t>
      </w:r>
      <w:r w:rsidR="00A713AC">
        <w:t>UN</w:t>
      </w:r>
      <w:r w:rsidRPr="00CD7DE7" w:rsidR="00A713AC">
        <w:t xml:space="preserve"> has identified six investment pathways for revitalizing SDG implementation, known as the Six Transitions. While gender equality is not a distinct transition, all six depend on realizing it, alongside urgent complementary action on key areas of the Beijing Platform for </w:t>
      </w:r>
      <w:r w:rsidRPr="00CD7DE7" w:rsidR="00A713AC">
        <w:lastRenderedPageBreak/>
        <w:t>Action, such as ending violence against women, equal participation in decision making, and women, peace and securit</w:t>
      </w:r>
      <w:r w:rsidR="00A713AC">
        <w:t>y. The review of SDG 5 will highlight the interconnections among gender inequality and the six transitions.</w:t>
      </w:r>
    </w:p>
    <w:p w:rsidR="009B0EBA" w:rsidP="00FA1E09" w:rsidRDefault="003B2A21" w14:paraId="724A5D03" w14:textId="1FD9E24E">
      <w:pPr>
        <w:spacing w:after="120"/>
        <w:rPr>
          <w:b/>
          <w:bCs/>
        </w:rPr>
      </w:pPr>
      <w:r w:rsidRPr="005F4E33">
        <w:rPr>
          <w:b/>
          <w:bCs/>
        </w:rPr>
        <w:t xml:space="preserve">SDG </w:t>
      </w:r>
      <w:r w:rsidR="008B451B">
        <w:rPr>
          <w:b/>
          <w:bCs/>
        </w:rPr>
        <w:t>8</w:t>
      </w:r>
      <w:r w:rsidRPr="005F4E33">
        <w:rPr>
          <w:b/>
          <w:bCs/>
        </w:rPr>
        <w:t xml:space="preserve"> </w:t>
      </w:r>
      <w:r w:rsidRPr="005F4E33" w:rsidR="008922D1">
        <w:rPr>
          <w:b/>
          <w:bCs/>
        </w:rPr>
        <w:t>–</w:t>
      </w:r>
      <w:r w:rsidRPr="005F4E33" w:rsidR="00845C61">
        <w:rPr>
          <w:b/>
          <w:bCs/>
        </w:rPr>
        <w:t xml:space="preserve"> </w:t>
      </w:r>
      <w:r w:rsidR="00085C67">
        <w:rPr>
          <w:b/>
          <w:bCs/>
        </w:rPr>
        <w:t>Decent Work and Economic Growth</w:t>
      </w:r>
    </w:p>
    <w:p w:rsidR="005131BE" w:rsidP="005131BE" w:rsidRDefault="000B06E2" w14:paraId="775346F4" w14:textId="77777777">
      <w:pPr>
        <w:spacing w:after="120"/>
        <w:rPr>
          <w:rFonts w:cstheme="minorHAnsi"/>
          <w:shd w:val="clear" w:color="auto" w:fill="FFFFFF"/>
        </w:rPr>
      </w:pPr>
      <w:r w:rsidRPr="000B06E2">
        <w:rPr>
          <w:rFonts w:cstheme="minorHAnsi"/>
          <w:shd w:val="clear" w:color="auto" w:fill="FFFFFF"/>
        </w:rPr>
        <w:t>Progress towards Goal 8 faces headwinds from the COVID-19 aftermath, trade tensions, rising debt in developing countries, conflicts and geopolitical strains – collectively threatening global economic growth.</w:t>
      </w:r>
      <w:r w:rsidR="00F15C22">
        <w:rPr>
          <w:rFonts w:cstheme="minorHAnsi"/>
          <w:shd w:val="clear" w:color="auto" w:fill="FFFFFF"/>
        </w:rPr>
        <w:t xml:space="preserve"> </w:t>
      </w:r>
      <w:r w:rsidRPr="00FB18F6" w:rsidR="005131BE">
        <w:rPr>
          <w:rFonts w:cstheme="minorHAnsi"/>
          <w:shd w:val="clear" w:color="auto" w:fill="FFFFFF"/>
        </w:rPr>
        <w:t>Global real GDP per capita inched up 1.8 per cent annually from 2015 to 2019 but fell by 3.9 per cent in 2020 before recovering with a 5.3 per cent increase in 2021. Growth slowed to 2.2 per cent in 2022 and is estimated to further drop to 1.0 per cent in 2023. The projected growth rate will be 1.8 per cent in 2024 and 1.5 per cent in 2025.</w:t>
      </w:r>
      <w:r w:rsidR="005131BE">
        <w:rPr>
          <w:rFonts w:cstheme="minorHAnsi"/>
          <w:shd w:val="clear" w:color="auto" w:fill="FFFFFF"/>
        </w:rPr>
        <w:t xml:space="preserve"> G</w:t>
      </w:r>
      <w:r w:rsidRPr="007105B1" w:rsidR="005131BE">
        <w:rPr>
          <w:rFonts w:cstheme="minorHAnsi"/>
          <w:shd w:val="clear" w:color="auto" w:fill="FFFFFF"/>
        </w:rPr>
        <w:t>lobal growth remains subdued by recent historical standards, falling short of the average pre-pandemic rate</w:t>
      </w:r>
      <w:r w:rsidR="005131BE">
        <w:rPr>
          <w:rFonts w:cstheme="minorHAnsi"/>
          <w:shd w:val="clear" w:color="auto" w:fill="FFFFFF"/>
        </w:rPr>
        <w:t>s</w:t>
      </w:r>
      <w:r w:rsidRPr="007105B1" w:rsidR="005131BE">
        <w:rPr>
          <w:rFonts w:cstheme="minorHAnsi"/>
          <w:shd w:val="clear" w:color="auto" w:fill="FFFFFF"/>
        </w:rPr>
        <w:t>. Prevailing high interest rates, limited fiscal space and ongoing geopolitical uncertainties continue to cloud economic prospects</w:t>
      </w:r>
      <w:r w:rsidR="005131BE">
        <w:rPr>
          <w:rStyle w:val="FootnoteReference"/>
          <w:rFonts w:cstheme="minorHAnsi"/>
          <w:shd w:val="clear" w:color="auto" w:fill="FFFFFF"/>
        </w:rPr>
        <w:footnoteReference w:id="9"/>
      </w:r>
      <w:r w:rsidRPr="007105B1" w:rsidR="005131BE">
        <w:rPr>
          <w:rFonts w:cstheme="minorHAnsi"/>
          <w:shd w:val="clear" w:color="auto" w:fill="FFFFFF"/>
        </w:rPr>
        <w:t>.</w:t>
      </w:r>
      <w:r w:rsidRPr="00F96EB8" w:rsidR="005131BE">
        <w:rPr>
          <w:rFonts w:cstheme="minorHAnsi"/>
          <w:shd w:val="clear" w:color="auto" w:fill="FFFFFF"/>
        </w:rPr>
        <w:t> </w:t>
      </w:r>
    </w:p>
    <w:p w:rsidR="00C94FF7" w:rsidP="00FA1E09" w:rsidRDefault="00F15C22" w14:paraId="71D4CE11" w14:textId="42FE0035">
      <w:pPr>
        <w:spacing w:after="120"/>
        <w:rPr>
          <w:rFonts w:cstheme="minorHAnsi"/>
          <w:shd w:val="clear" w:color="auto" w:fill="FFFFFF"/>
        </w:rPr>
      </w:pPr>
      <w:r w:rsidRPr="00F15C22">
        <w:rPr>
          <w:rFonts w:cstheme="minorHAnsi"/>
          <w:shd w:val="clear" w:color="auto" w:fill="FFFFFF"/>
        </w:rPr>
        <w:t xml:space="preserve">Global unemployment hit a historic low of 5 per cent </w:t>
      </w:r>
      <w:r w:rsidR="00812AC7">
        <w:rPr>
          <w:rFonts w:cstheme="minorHAnsi"/>
          <w:shd w:val="clear" w:color="auto" w:fill="FFFFFF"/>
        </w:rPr>
        <w:t xml:space="preserve">and in 2023 and </w:t>
      </w:r>
      <w:r w:rsidRPr="00886F30" w:rsidR="00886F30">
        <w:rPr>
          <w:rFonts w:cstheme="minorHAnsi"/>
          <w:shd w:val="clear" w:color="auto" w:fill="FFFFFF"/>
        </w:rPr>
        <w:t>is projected to further drop to 4.9 per cent in 2024 and to stay the same level in 2025.</w:t>
      </w:r>
      <w:r w:rsidR="00886F30">
        <w:rPr>
          <w:rFonts w:cstheme="minorHAnsi"/>
          <w:shd w:val="clear" w:color="auto" w:fill="FFFFFF"/>
        </w:rPr>
        <w:t xml:space="preserve"> Yet gaps remain for many groups.</w:t>
      </w:r>
      <w:r w:rsidRPr="00F15C22">
        <w:rPr>
          <w:rFonts w:cstheme="minorHAnsi"/>
          <w:shd w:val="clear" w:color="auto" w:fill="FFFFFF"/>
        </w:rPr>
        <w:t xml:space="preserve"> Women and youth face higher unemployment rates. </w:t>
      </w:r>
      <w:r w:rsidRPr="00A44D8F" w:rsidR="00A44D8F">
        <w:rPr>
          <w:rFonts w:cstheme="minorHAnsi"/>
          <w:shd w:val="clear" w:color="auto" w:fill="FFFFFF"/>
        </w:rPr>
        <w:t xml:space="preserve">In 2023, gender unemployment gaps were </w:t>
      </w:r>
      <w:proofErr w:type="gramStart"/>
      <w:r w:rsidRPr="00A44D8F" w:rsidR="00A44D8F">
        <w:rPr>
          <w:rFonts w:cstheme="minorHAnsi"/>
          <w:shd w:val="clear" w:color="auto" w:fill="FFFFFF"/>
        </w:rPr>
        <w:t>similar to</w:t>
      </w:r>
      <w:proofErr w:type="gramEnd"/>
      <w:r w:rsidRPr="00A44D8F" w:rsidR="00A44D8F">
        <w:rPr>
          <w:rFonts w:cstheme="minorHAnsi"/>
          <w:shd w:val="clear" w:color="auto" w:fill="FFFFFF"/>
        </w:rPr>
        <w:t xml:space="preserve"> those in 2015, with the largest disparities in Northern Africa and Western Asia. Central and Southern Asia has made strides in narrowing the gap due to improved labour market access for women, particularly in Southern Asia. Youth unemployment was over three times higher than adult rates globally, at 13.0 per cent compared to 3.7 per cent, respectively. While headline unemployment figures improved, persistent challenges such as working poverty and informal employment highlight ongoing struggles in realizing decent work.</w:t>
      </w:r>
      <w:r w:rsidR="00A44D8F">
        <w:rPr>
          <w:rFonts w:cstheme="minorHAnsi"/>
          <w:shd w:val="clear" w:color="auto" w:fill="FFFFFF"/>
        </w:rPr>
        <w:t xml:space="preserve"> </w:t>
      </w:r>
    </w:p>
    <w:p w:rsidR="00507FC5" w:rsidP="00507FC5" w:rsidRDefault="00F15C22" w14:paraId="34B5C765" w14:textId="4C6C0271">
      <w:pPr>
        <w:spacing w:after="120"/>
      </w:pPr>
      <w:r w:rsidRPr="00F15C22">
        <w:rPr>
          <w:rFonts w:cstheme="minorHAnsi"/>
          <w:shd w:val="clear" w:color="auto" w:fill="FFFFFF"/>
        </w:rPr>
        <w:t>Informal employment poses a significant global challenge, with over 2 billion workers in informal jobs lacking social protection in 2023. In the</w:t>
      </w:r>
      <w:r w:rsidR="00812AC7">
        <w:rPr>
          <w:rFonts w:cstheme="minorHAnsi"/>
          <w:shd w:val="clear" w:color="auto" w:fill="FFFFFF"/>
        </w:rPr>
        <w:t xml:space="preserve"> least developed countries</w:t>
      </w:r>
      <w:r w:rsidRPr="00F15C22">
        <w:rPr>
          <w:rFonts w:cstheme="minorHAnsi"/>
          <w:shd w:val="clear" w:color="auto" w:fill="FFFFFF"/>
        </w:rPr>
        <w:t xml:space="preserve"> </w:t>
      </w:r>
      <w:r w:rsidR="00812AC7">
        <w:rPr>
          <w:rFonts w:cstheme="minorHAnsi"/>
          <w:shd w:val="clear" w:color="auto" w:fill="FFFFFF"/>
        </w:rPr>
        <w:t>(</w:t>
      </w:r>
      <w:r w:rsidRPr="00F15C22">
        <w:rPr>
          <w:rFonts w:cstheme="minorHAnsi"/>
          <w:shd w:val="clear" w:color="auto" w:fill="FFFFFF"/>
        </w:rPr>
        <w:t>LDCs</w:t>
      </w:r>
      <w:r w:rsidR="00812AC7">
        <w:rPr>
          <w:rFonts w:cstheme="minorHAnsi"/>
          <w:shd w:val="clear" w:color="auto" w:fill="FFFFFF"/>
        </w:rPr>
        <w:t>)</w:t>
      </w:r>
      <w:r w:rsidRPr="00F15C22">
        <w:rPr>
          <w:rFonts w:cstheme="minorHAnsi"/>
          <w:shd w:val="clear" w:color="auto" w:fill="FFFFFF"/>
        </w:rPr>
        <w:t>, and in sub-Saharan Africa and Central and Southern Asia, nearly 9 in 10 workers are informally employed.</w:t>
      </w:r>
      <w:r w:rsidR="00507FC5">
        <w:rPr>
          <w:rFonts w:cstheme="minorHAnsi"/>
          <w:shd w:val="clear" w:color="auto" w:fill="FFFFFF"/>
        </w:rPr>
        <w:t xml:space="preserve"> </w:t>
      </w:r>
      <w:r w:rsidRPr="00136FF8" w:rsidR="00507FC5">
        <w:t>The labour market in developing countries continued to face the persistent challenges of informal employment, gender disparities, and high youth unemployment. Labour market conditions in many developing countries will likely deteriorate in 2024 amid weaker prospects, with the lagged effect of monetary tightening taking a toll on employment</w:t>
      </w:r>
      <w:r w:rsidR="00507FC5">
        <w:rPr>
          <w:rStyle w:val="FootnoteReference"/>
        </w:rPr>
        <w:footnoteReference w:id="10"/>
      </w:r>
      <w:r w:rsidRPr="00136FF8" w:rsidR="00507FC5">
        <w:t>.</w:t>
      </w:r>
    </w:p>
    <w:p w:rsidR="009C75EE" w:rsidP="00507FC5" w:rsidRDefault="0052434A" w14:paraId="44BBB224" w14:textId="32089979">
      <w:pPr>
        <w:spacing w:after="120"/>
        <w:rPr>
          <w:rFonts w:cstheme="minorHAnsi"/>
        </w:rPr>
      </w:pPr>
      <w:r>
        <w:t xml:space="preserve">The in-depth review </w:t>
      </w:r>
      <w:r w:rsidR="006848E8">
        <w:t xml:space="preserve">of SDG 8 </w:t>
      </w:r>
      <w:r>
        <w:t xml:space="preserve">in </w:t>
      </w:r>
      <w:r w:rsidR="00812AC7">
        <w:t xml:space="preserve">2019 </w:t>
      </w:r>
      <w:r>
        <w:t xml:space="preserve">recommended a reinvigorated social contract and national action plans for achieving SDG 8. </w:t>
      </w:r>
      <w:r w:rsidR="00502374">
        <w:t xml:space="preserve">It recommended that </w:t>
      </w:r>
      <w:r w:rsidRPr="00502374" w:rsidR="00502374">
        <w:t xml:space="preserve">Member States should </w:t>
      </w:r>
      <w:r w:rsidR="00487CF7">
        <w:t>review</w:t>
      </w:r>
      <w:r w:rsidRPr="00502374" w:rsidR="00502374">
        <w:t xml:space="preserve"> their compliance with international norms and standards relevant to the achievement of SDG 8 and develop mechanisms to address potential gaps</w:t>
      </w:r>
      <w:r w:rsidR="00502374">
        <w:t xml:space="preserve">, in </w:t>
      </w:r>
      <w:r w:rsidR="00BF1349">
        <w:t>c</w:t>
      </w:r>
      <w:r w:rsidRPr="00502374" w:rsidR="00502374">
        <w:t>onsultation with civil society and the private sector</w:t>
      </w:r>
      <w:r w:rsidR="00502374">
        <w:t>.</w:t>
      </w:r>
      <w:r w:rsidR="00BF1349">
        <w:t xml:space="preserve"> </w:t>
      </w:r>
      <w:r w:rsidR="00964ED7">
        <w:t>It was suggested that a</w:t>
      </w:r>
      <w:r w:rsidR="00BF1349">
        <w:t xml:space="preserve"> </w:t>
      </w:r>
      <w:r w:rsidR="006D5F4E">
        <w:t xml:space="preserve">renewed </w:t>
      </w:r>
      <w:r w:rsidR="00BF1349">
        <w:t xml:space="preserve">social contract could </w:t>
      </w:r>
      <w:r w:rsidRPr="00BF1349" w:rsidR="00BF1349">
        <w:t xml:space="preserve">aim </w:t>
      </w:r>
      <w:r w:rsidR="00BF1349">
        <w:t>for</w:t>
      </w:r>
      <w:r w:rsidRPr="00BF1349" w:rsidR="00BF1349">
        <w:t xml:space="preserve"> a universal labour guarantee, a universal social protection floor for all workers, </w:t>
      </w:r>
      <w:r w:rsidR="000D5388">
        <w:t xml:space="preserve">and </w:t>
      </w:r>
      <w:r w:rsidRPr="00BF1349" w:rsidR="00BF1349">
        <w:t>respect for their rights, including collective bargaining</w:t>
      </w:r>
      <w:r w:rsidR="00795763">
        <w:rPr>
          <w:rStyle w:val="FootnoteReference"/>
        </w:rPr>
        <w:footnoteReference w:id="11"/>
      </w:r>
      <w:r w:rsidRPr="00BF1349" w:rsidR="00BF1349">
        <w:t xml:space="preserve">. </w:t>
      </w:r>
      <w:r w:rsidR="006848E8">
        <w:t xml:space="preserve">In 2021, the review </w:t>
      </w:r>
      <w:r w:rsidR="00A44E51">
        <w:t xml:space="preserve">emphasized building back better </w:t>
      </w:r>
      <w:r w:rsidR="00812AC7">
        <w:t xml:space="preserve">from COVID-19 </w:t>
      </w:r>
      <w:r w:rsidR="00A44E51">
        <w:t xml:space="preserve">acting on </w:t>
      </w:r>
      <w:r w:rsidR="00BE0013">
        <w:t>evidence on interlinkages among goals</w:t>
      </w:r>
      <w:r w:rsidR="00795763">
        <w:rPr>
          <w:rStyle w:val="FootnoteReference"/>
        </w:rPr>
        <w:footnoteReference w:id="12"/>
      </w:r>
      <w:r w:rsidR="00BE0013">
        <w:t>.</w:t>
      </w:r>
    </w:p>
    <w:p w:rsidRPr="00741153" w:rsidR="00A14F44" w:rsidP="00451A24" w:rsidRDefault="001409E9" w14:paraId="31B3E5B6" w14:textId="671E57BC">
      <w:pPr>
        <w:spacing w:after="120"/>
        <w:rPr>
          <w:rFonts w:cstheme="minorHAnsi"/>
        </w:rPr>
      </w:pPr>
      <w:r>
        <w:rPr>
          <w:rFonts w:cstheme="minorHAnsi"/>
          <w:shd w:val="clear" w:color="auto" w:fill="FFFFFF"/>
        </w:rPr>
        <w:t xml:space="preserve">The review of SDG 8 at HLPF 2025 will </w:t>
      </w:r>
      <w:r w:rsidR="00812AC7">
        <w:rPr>
          <w:rFonts w:cstheme="minorHAnsi"/>
          <w:shd w:val="clear" w:color="auto" w:fill="FFFFFF"/>
        </w:rPr>
        <w:t xml:space="preserve">be an opportunity to </w:t>
      </w:r>
      <w:r w:rsidR="00EA499F">
        <w:rPr>
          <w:rFonts w:cstheme="minorHAnsi"/>
          <w:shd w:val="clear" w:color="auto" w:fill="FFFFFF"/>
        </w:rPr>
        <w:t>examine how</w:t>
      </w:r>
      <w:r w:rsidR="00984322">
        <w:rPr>
          <w:rFonts w:cstheme="minorHAnsi"/>
          <w:shd w:val="clear" w:color="auto" w:fill="FFFFFF"/>
        </w:rPr>
        <w:t xml:space="preserve"> </w:t>
      </w:r>
      <w:r w:rsidR="00751C72">
        <w:rPr>
          <w:rFonts w:cstheme="minorHAnsi"/>
          <w:shd w:val="clear" w:color="auto" w:fill="FFFFFF"/>
        </w:rPr>
        <w:t>system wide transformational changes towards a greener economic system</w:t>
      </w:r>
      <w:r w:rsidR="00EA499F">
        <w:rPr>
          <w:rFonts w:cstheme="minorHAnsi"/>
          <w:shd w:val="clear" w:color="auto" w:fill="FFFFFF"/>
        </w:rPr>
        <w:t xml:space="preserve"> </w:t>
      </w:r>
      <w:r w:rsidR="00751C72">
        <w:rPr>
          <w:rFonts w:cstheme="minorHAnsi"/>
          <w:shd w:val="clear" w:color="auto" w:fill="FFFFFF"/>
        </w:rPr>
        <w:t xml:space="preserve">create opportunities for inclusive growth and jobs. The </w:t>
      </w:r>
      <w:r w:rsidR="00751C72">
        <w:rPr>
          <w:rFonts w:cstheme="minorHAnsi"/>
          <w:shd w:val="clear" w:color="auto" w:fill="FFFFFF"/>
        </w:rPr>
        <w:lastRenderedPageBreak/>
        <w:t xml:space="preserve">review will </w:t>
      </w:r>
      <w:r w:rsidR="0048556B">
        <w:rPr>
          <w:rFonts w:cstheme="minorHAnsi"/>
          <w:shd w:val="clear" w:color="auto" w:fill="FFFFFF"/>
        </w:rPr>
        <w:t>examine how to make the best of these synergies between the sustainability and employment agenda</w:t>
      </w:r>
      <w:r w:rsidR="00F80585">
        <w:rPr>
          <w:rFonts w:cstheme="minorHAnsi"/>
          <w:shd w:val="clear" w:color="auto" w:fill="FFFFFF"/>
        </w:rPr>
        <w:t>s</w:t>
      </w:r>
      <w:r w:rsidR="0048556B">
        <w:rPr>
          <w:rFonts w:cstheme="minorHAnsi"/>
          <w:shd w:val="clear" w:color="auto" w:fill="FFFFFF"/>
        </w:rPr>
        <w:t xml:space="preserve"> and make sure that these opportunities are realized. The discussion </w:t>
      </w:r>
      <w:r w:rsidR="00F80585">
        <w:rPr>
          <w:rFonts w:cstheme="minorHAnsi"/>
          <w:shd w:val="clear" w:color="auto" w:fill="FFFFFF"/>
        </w:rPr>
        <w:t xml:space="preserve">can </w:t>
      </w:r>
      <w:r w:rsidR="0048556B">
        <w:rPr>
          <w:rFonts w:cstheme="minorHAnsi"/>
          <w:shd w:val="clear" w:color="auto" w:fill="FFFFFF"/>
        </w:rPr>
        <w:t>also address the trade</w:t>
      </w:r>
      <w:r w:rsidR="00F80585">
        <w:rPr>
          <w:rFonts w:cstheme="minorHAnsi"/>
          <w:shd w:val="clear" w:color="auto" w:fill="FFFFFF"/>
        </w:rPr>
        <w:t>-</w:t>
      </w:r>
      <w:r w:rsidR="0048556B">
        <w:rPr>
          <w:rFonts w:cstheme="minorHAnsi"/>
          <w:shd w:val="clear" w:color="auto" w:fill="FFFFFF"/>
        </w:rPr>
        <w:t>offs that have to be manage</w:t>
      </w:r>
      <w:r w:rsidR="007C1FED">
        <w:rPr>
          <w:rFonts w:cstheme="minorHAnsi"/>
          <w:shd w:val="clear" w:color="auto" w:fill="FFFFFF"/>
        </w:rPr>
        <w:t>d</w:t>
      </w:r>
      <w:r w:rsidR="0048556B">
        <w:rPr>
          <w:rFonts w:cstheme="minorHAnsi"/>
          <w:shd w:val="clear" w:color="auto" w:fill="FFFFFF"/>
        </w:rPr>
        <w:t>, as the transition away from destructive activities and industries also involve the loss of jobs. The discussion will address how transformation ca</w:t>
      </w:r>
      <w:r w:rsidR="00DF745F">
        <w:rPr>
          <w:rFonts w:cstheme="minorHAnsi"/>
          <w:shd w:val="clear" w:color="auto" w:fill="FFFFFF"/>
        </w:rPr>
        <w:t>n incorporate</w:t>
      </w:r>
      <w:r w:rsidR="0048556B">
        <w:rPr>
          <w:rFonts w:cstheme="minorHAnsi"/>
          <w:shd w:val="clear" w:color="auto" w:fill="FFFFFF"/>
        </w:rPr>
        <w:t xml:space="preserve"> the Just Transition and Leave No One Behind principles</w:t>
      </w:r>
      <w:r w:rsidR="00451A24">
        <w:rPr>
          <w:rFonts w:cstheme="minorHAnsi"/>
          <w:shd w:val="clear" w:color="auto" w:fill="FFFFFF"/>
        </w:rPr>
        <w:t xml:space="preserve"> and may also build on the discussions at the 2025 </w:t>
      </w:r>
      <w:r w:rsidRPr="00451A24" w:rsidR="00451A24">
        <w:rPr>
          <w:rFonts w:cstheme="minorHAnsi"/>
          <w:shd w:val="clear" w:color="auto" w:fill="FFFFFF"/>
        </w:rPr>
        <w:t>United Nations Commission for Social Development (</w:t>
      </w:r>
      <w:proofErr w:type="spellStart"/>
      <w:r w:rsidRPr="00451A24" w:rsidR="00451A24">
        <w:rPr>
          <w:rFonts w:cstheme="minorHAnsi"/>
          <w:shd w:val="clear" w:color="auto" w:fill="FFFFFF"/>
        </w:rPr>
        <w:t>CSocD</w:t>
      </w:r>
      <w:proofErr w:type="spellEnd"/>
      <w:r w:rsidRPr="00451A24" w:rsidR="00451A24">
        <w:rPr>
          <w:rFonts w:cstheme="minorHAnsi"/>
          <w:shd w:val="clear" w:color="auto" w:fill="FFFFFF"/>
        </w:rPr>
        <w:t>)</w:t>
      </w:r>
      <w:r w:rsidR="0048556B">
        <w:rPr>
          <w:rFonts w:cstheme="minorHAnsi"/>
          <w:shd w:val="clear" w:color="auto" w:fill="FFFFFF"/>
        </w:rPr>
        <w:t>.</w:t>
      </w:r>
    </w:p>
    <w:p w:rsidR="00A14F44" w:rsidP="00FA1E09" w:rsidRDefault="00686F51" w14:paraId="1B78F55E" w14:textId="4AEFAF3A">
      <w:pPr>
        <w:spacing w:after="120"/>
        <w:rPr>
          <w:b/>
          <w:bCs/>
        </w:rPr>
      </w:pPr>
      <w:r w:rsidRPr="00A14F44">
        <w:rPr>
          <w:rFonts w:cstheme="minorHAnsi"/>
          <w:b/>
          <w:bCs/>
        </w:rPr>
        <w:t>SDG 1</w:t>
      </w:r>
      <w:r w:rsidR="008B451B">
        <w:rPr>
          <w:rFonts w:cstheme="minorHAnsi"/>
          <w:b/>
          <w:bCs/>
        </w:rPr>
        <w:t>4</w:t>
      </w:r>
      <w:r w:rsidRPr="00A14F44">
        <w:rPr>
          <w:rFonts w:cstheme="minorHAnsi"/>
          <w:b/>
          <w:bCs/>
        </w:rPr>
        <w:t xml:space="preserve"> </w:t>
      </w:r>
      <w:r w:rsidR="00D833E6">
        <w:rPr>
          <w:rFonts w:cstheme="minorHAnsi"/>
          <w:b/>
          <w:bCs/>
        </w:rPr>
        <w:t>–</w:t>
      </w:r>
      <w:r w:rsidRPr="00A14F44">
        <w:rPr>
          <w:rFonts w:cstheme="minorHAnsi"/>
          <w:b/>
          <w:bCs/>
        </w:rPr>
        <w:t xml:space="preserve"> </w:t>
      </w:r>
      <w:r w:rsidR="00D833E6">
        <w:rPr>
          <w:rFonts w:cstheme="minorHAnsi"/>
          <w:b/>
          <w:bCs/>
        </w:rPr>
        <w:t>Life Below Water</w:t>
      </w:r>
    </w:p>
    <w:p w:rsidR="00D833E6" w:rsidP="00FA1E09" w:rsidRDefault="00BC7C38" w14:paraId="24EEFEE8" w14:textId="57CE6BAE">
      <w:pPr>
        <w:spacing w:after="120"/>
      </w:pPr>
      <w:r w:rsidRPr="00BC7C38">
        <w:t>Oceans face significant challenges from eutrophication, worsening acidification, declining fish stocks, rising temperatures and widespread pollution</w:t>
      </w:r>
      <w:r w:rsidR="00896760">
        <w:t>.</w:t>
      </w:r>
      <w:r w:rsidR="00787810">
        <w:t xml:space="preserve"> </w:t>
      </w:r>
      <w:r w:rsidRPr="00787810" w:rsidR="00787810">
        <w:t>In 2023, ocean heat content soared to its highest level in 65 years; over 90 per cent of the ocean experienced heatwave conditions at some point during the year</w:t>
      </w:r>
      <w:r w:rsidR="00787810">
        <w:t xml:space="preserve">. </w:t>
      </w:r>
      <w:r w:rsidRPr="00896760" w:rsidR="00896760">
        <w:t>Efforts to address these mounting concerns remain uneven. Key actions include implementing sustainable fishing practices, expanding marine protected areas to safeguard key biodiversity areas, increasing capacities to monitor ocean health and addressing the pollution that is choking waterways</w:t>
      </w:r>
      <w:r w:rsidR="00896760">
        <w:t>.</w:t>
      </w:r>
    </w:p>
    <w:p w:rsidR="0058723A" w:rsidP="00FA1E09" w:rsidRDefault="0058723A" w14:paraId="3235CACD" w14:textId="428E3ACC">
      <w:pPr>
        <w:spacing w:after="120"/>
      </w:pPr>
      <w:r w:rsidRPr="0058723A">
        <w:t>As of May 2024, there are 18,200 marine protected areas and 199 other effective, area-based conservation measures covering over 29 million square kilometres or 8.12 per cent of the ocean. This represents a more than tenfold increase in marine protected area coverage since 2000, largely due to the establishment of very large areas exceeding 100,000 square kilometres. Progress has stalled since 2020, however. Reaching the 10 per cent SDG target by 2030 calls for effectively managing important sites covering an average additional 1.13 million square kilometres of ocean each year.</w:t>
      </w:r>
    </w:p>
    <w:p w:rsidR="00FF672A" w:rsidP="00FA1E09" w:rsidRDefault="00FF672A" w14:paraId="44C5ACF6" w14:textId="0666FB98">
      <w:pPr>
        <w:spacing w:after="120"/>
      </w:pPr>
      <w:r w:rsidRPr="00FF672A">
        <w:t>The sustainability of global fishery resources declined from 90.0 per cent in 1974 to 64.6 per cent in 2019 and further to 62.3 per cent in 2021, due to overfishing, pollution, poor management and other factors. Fish stocks within biologically sustainable levels, however, comprised around 76.9 per cent of global marine fish landings in 2021. Averaging 80 million tons annually, global marine fish landings have remained relatively stable since 1995.</w:t>
      </w:r>
    </w:p>
    <w:p w:rsidR="00787810" w:rsidP="00FA1E09" w:rsidRDefault="00787810" w14:paraId="1FF1A055" w14:textId="2A12D2B7">
      <w:pPr>
        <w:spacing w:after="120"/>
      </w:pPr>
      <w:r w:rsidRPr="00787810">
        <w:t xml:space="preserve">Rising ocean temperatures are raising new concerns for coral reefs, which support a quarter of marine species, provide resources for hundreds of millions of people in coastal communities and generate trillions of dollars in revenue annually. According to the World Meteorological Organization, as of April 2024, sea surface temperatures had reached record highs for 13 consecutive months. </w:t>
      </w:r>
    </w:p>
    <w:p w:rsidR="00D833E6" w:rsidP="008605E7" w:rsidRDefault="0005525C" w14:paraId="5B920348" w14:textId="700AE9D8">
      <w:pPr>
        <w:spacing w:after="120"/>
      </w:pPr>
      <w:r>
        <w:t xml:space="preserve">The review of SDG 14 will </w:t>
      </w:r>
      <w:r w:rsidR="005D1F0E">
        <w:t>draw from the preparations for the 3</w:t>
      </w:r>
      <w:r w:rsidRPr="00D43F10" w:rsidR="005D1F0E">
        <w:rPr>
          <w:vertAlign w:val="superscript"/>
        </w:rPr>
        <w:t>rd</w:t>
      </w:r>
      <w:r w:rsidR="005D1F0E">
        <w:t xml:space="preserve"> </w:t>
      </w:r>
      <w:r w:rsidR="005D1F0E">
        <w:rPr>
          <w:rFonts w:cstheme="minorHAnsi"/>
          <w:shd w:val="clear" w:color="auto" w:fill="FFFFFF"/>
        </w:rPr>
        <w:t>UN Ocean Conference</w:t>
      </w:r>
      <w:r w:rsidR="005D1F0E">
        <w:t xml:space="preserve"> taking </w:t>
      </w:r>
      <w:r>
        <w:t xml:space="preserve">stock of </w:t>
      </w:r>
      <w:r w:rsidRPr="0005525C">
        <w:t>global action</w:t>
      </w:r>
      <w:r w:rsidR="005D1F0E">
        <w:t xml:space="preserve"> that</w:t>
      </w:r>
      <w:r w:rsidRPr="0005525C">
        <w:t xml:space="preserve"> is under way, </w:t>
      </w:r>
      <w:r>
        <w:t>and how i</w:t>
      </w:r>
      <w:r w:rsidRPr="0005525C">
        <w:t>t must accelerate. Priorities include ensuring that the Agreement on Fisheries Subsidies enters into force as soon as possible; increasing participation in the Agreement on Port State Measures to combat illegal, unreported and</w:t>
      </w:r>
      <w:r>
        <w:t xml:space="preserve"> </w:t>
      </w:r>
      <w:r w:rsidRPr="0005525C">
        <w:t>unregulated fishing; adopting a global plastic pollution instrument; and ensuring that the Agreement on Marine Biodiversity of Areas Beyond National Jurisdiction enters into force as soon as possible to ensure the long-term health and sustainability of oceans.</w:t>
      </w:r>
      <w:r w:rsidR="00255066">
        <w:t xml:space="preserve"> In the review of SDG 14 there are opportunities to consider links with </w:t>
      </w:r>
      <w:r w:rsidR="00C40E8F">
        <w:t xml:space="preserve">climate action and </w:t>
      </w:r>
      <w:r w:rsidR="00255066">
        <w:t>the</w:t>
      </w:r>
      <w:r w:rsidR="00227796">
        <w:t xml:space="preserve"> creation of decent work</w:t>
      </w:r>
      <w:r w:rsidR="00C40E8F">
        <w:t xml:space="preserve"> among others.</w:t>
      </w:r>
      <w:r w:rsidR="00227796">
        <w:t xml:space="preserve"> </w:t>
      </w:r>
    </w:p>
    <w:p w:rsidRPr="00C17463" w:rsidR="00C17463" w:rsidP="00D75376" w:rsidRDefault="00C65BDA" w14:paraId="4937C283" w14:textId="5FAA9D6F">
      <w:pPr>
        <w:pStyle w:val="Default"/>
        <w:spacing w:after="120" w:line="259" w:lineRule="auto"/>
        <w:rPr>
          <w:rFonts w:eastAsia="Times New Roman" w:asciiTheme="minorHAnsi" w:hAnsiTheme="minorHAnsi" w:cstheme="minorHAnsi"/>
          <w:sz w:val="22"/>
          <w:szCs w:val="22"/>
        </w:rPr>
      </w:pPr>
      <w:r w:rsidRPr="00AF7163">
        <w:rPr>
          <w:rFonts w:asciiTheme="minorHAnsi" w:hAnsiTheme="minorHAnsi" w:cstheme="minorHAnsi"/>
          <w:b/>
          <w:bCs/>
          <w:sz w:val="22"/>
          <w:szCs w:val="22"/>
        </w:rPr>
        <w:t>SDG 17</w:t>
      </w:r>
      <w:r w:rsidRPr="00AF7163" w:rsidR="00847235">
        <w:rPr>
          <w:rFonts w:asciiTheme="minorHAnsi" w:hAnsiTheme="minorHAnsi" w:cstheme="minorHAnsi"/>
          <w:b/>
          <w:bCs/>
          <w:sz w:val="22"/>
          <w:szCs w:val="22"/>
        </w:rPr>
        <w:t xml:space="preserve"> – Revitalize the Global Partnership for Sustainable Development</w:t>
      </w:r>
      <w:r w:rsidRPr="00D12789" w:rsidR="00847235">
        <w:rPr>
          <w:rFonts w:asciiTheme="minorHAnsi" w:hAnsiTheme="minorHAnsi" w:cstheme="minorHAnsi"/>
          <w:sz w:val="22"/>
          <w:szCs w:val="22"/>
        </w:rPr>
        <w:t xml:space="preserve"> </w:t>
      </w:r>
      <w:r w:rsidR="00A6520F">
        <w:rPr>
          <w:rFonts w:asciiTheme="minorHAnsi" w:hAnsiTheme="minorHAnsi" w:cstheme="minorHAnsi"/>
          <w:sz w:val="22"/>
          <w:szCs w:val="22"/>
        </w:rPr>
        <w:t xml:space="preserve">- </w:t>
      </w:r>
      <w:r w:rsidRPr="00C17463" w:rsidR="00A6520F">
        <w:rPr>
          <w:rFonts w:eastAsia="Times New Roman" w:asciiTheme="minorHAnsi" w:hAnsiTheme="minorHAnsi" w:cstheme="minorHAnsi"/>
          <w:sz w:val="22"/>
          <w:szCs w:val="22"/>
        </w:rPr>
        <w:t xml:space="preserve">SDG 17 is central to implementation across the entire 2030 Agenda and to action and partnerships on all SDGs. A review would assess progress on how STI, financing, data, capacity building, partnerships and other mechanisms can support </w:t>
      </w:r>
      <w:r w:rsidR="000C587D">
        <w:rPr>
          <w:rFonts w:eastAsia="Times New Roman" w:asciiTheme="minorHAnsi" w:hAnsiTheme="minorHAnsi" w:cstheme="minorHAnsi"/>
          <w:sz w:val="22"/>
          <w:szCs w:val="22"/>
        </w:rPr>
        <w:t>acceleration</w:t>
      </w:r>
      <w:r w:rsidRPr="00C17463" w:rsidR="00A6520F">
        <w:rPr>
          <w:rFonts w:eastAsia="Times New Roman" w:asciiTheme="minorHAnsi" w:hAnsiTheme="minorHAnsi" w:cstheme="minorHAnsi"/>
          <w:sz w:val="22"/>
          <w:szCs w:val="22"/>
        </w:rPr>
        <w:t xml:space="preserve"> of the 2030 Agenda.</w:t>
      </w:r>
      <w:r w:rsidR="00C40E8F">
        <w:rPr>
          <w:rFonts w:eastAsia="Times New Roman" w:asciiTheme="minorHAnsi" w:hAnsiTheme="minorHAnsi" w:cstheme="minorHAnsi"/>
          <w:sz w:val="22"/>
          <w:szCs w:val="22"/>
        </w:rPr>
        <w:t xml:space="preserve"> </w:t>
      </w:r>
      <w:r w:rsidRPr="00D75376" w:rsidR="00C40E8F">
        <w:rPr>
          <w:rFonts w:eastAsia="Times New Roman" w:asciiTheme="minorHAnsi" w:hAnsiTheme="minorHAnsi" w:cstheme="minorHAnsi"/>
          <w:sz w:val="22"/>
          <w:szCs w:val="22"/>
        </w:rPr>
        <w:t xml:space="preserve">This Goal will be considered </w:t>
      </w:r>
      <w:r w:rsidRPr="00D75376" w:rsidR="00C41CDE">
        <w:rPr>
          <w:rFonts w:eastAsia="Times New Roman" w:asciiTheme="minorHAnsi" w:hAnsiTheme="minorHAnsi" w:cstheme="minorHAnsi"/>
          <w:sz w:val="22"/>
          <w:szCs w:val="22"/>
        </w:rPr>
        <w:t xml:space="preserve">closely within the reviews of all other Goals also drawing from key </w:t>
      </w:r>
      <w:r w:rsidRPr="00D75376" w:rsidR="00B055A5">
        <w:rPr>
          <w:rFonts w:eastAsia="Times New Roman" w:asciiTheme="minorHAnsi" w:hAnsiTheme="minorHAnsi" w:cstheme="minorHAnsi"/>
          <w:sz w:val="22"/>
          <w:szCs w:val="22"/>
        </w:rPr>
        <w:t xml:space="preserve">gatherings that explore the means of </w:t>
      </w:r>
      <w:r w:rsidRPr="00D75376" w:rsidR="00D75376">
        <w:rPr>
          <w:rFonts w:eastAsia="Times New Roman" w:asciiTheme="minorHAnsi" w:hAnsiTheme="minorHAnsi" w:cstheme="minorHAnsi"/>
          <w:sz w:val="22"/>
          <w:szCs w:val="22"/>
        </w:rPr>
        <w:t>implementing</w:t>
      </w:r>
      <w:r w:rsidRPr="00D75376" w:rsidR="00B055A5">
        <w:rPr>
          <w:rFonts w:eastAsia="Times New Roman" w:asciiTheme="minorHAnsi" w:hAnsiTheme="minorHAnsi" w:cstheme="minorHAnsi"/>
          <w:sz w:val="22"/>
          <w:szCs w:val="22"/>
        </w:rPr>
        <w:t xml:space="preserve"> </w:t>
      </w:r>
      <w:r w:rsidRPr="00D75376" w:rsidR="00B055A5">
        <w:rPr>
          <w:rFonts w:eastAsia="Times New Roman" w:asciiTheme="minorHAnsi" w:hAnsiTheme="minorHAnsi" w:cstheme="minorHAnsi"/>
          <w:sz w:val="22"/>
          <w:szCs w:val="22"/>
        </w:rPr>
        <w:lastRenderedPageBreak/>
        <w:t xml:space="preserve">the SDGs such as the </w:t>
      </w:r>
      <w:r w:rsidRPr="00D75376" w:rsidR="00705EB4">
        <w:rPr>
          <w:rFonts w:eastAsia="Times New Roman" w:asciiTheme="minorHAnsi" w:hAnsiTheme="minorHAnsi" w:cstheme="minorHAnsi"/>
          <w:sz w:val="22"/>
          <w:szCs w:val="22"/>
          <w:lang w:val="en-GB"/>
        </w:rPr>
        <w:t xml:space="preserve">Partnership Forum of the Economic and Social Council, the </w:t>
      </w:r>
      <w:r w:rsidRPr="00D75376" w:rsidR="00D75376">
        <w:rPr>
          <w:rFonts w:eastAsia="Times New Roman" w:asciiTheme="minorHAnsi" w:hAnsiTheme="minorHAnsi" w:cstheme="minorHAnsi"/>
          <w:sz w:val="22"/>
          <w:szCs w:val="22"/>
          <w:lang w:val="en-GB"/>
        </w:rPr>
        <w:t xml:space="preserve">Multi-stakeholder Forum on Science, Technology and Innovation for the SDGs (STI Forum), and the </w:t>
      </w:r>
      <w:r w:rsidRPr="00D75376" w:rsidR="00D75376">
        <w:rPr>
          <w:rFonts w:asciiTheme="minorHAnsi" w:hAnsiTheme="minorHAnsi" w:cstheme="minorHAnsi"/>
          <w:color w:val="auto"/>
          <w:sz w:val="22"/>
          <w:szCs w:val="22"/>
          <w:shd w:val="clear" w:color="auto" w:fill="FFFFFF"/>
          <w:lang w:val="en-GB"/>
        </w:rPr>
        <w:t>4</w:t>
      </w:r>
      <w:r w:rsidRPr="00D75376" w:rsidR="00D75376">
        <w:rPr>
          <w:rFonts w:asciiTheme="minorHAnsi" w:hAnsiTheme="minorHAnsi" w:cstheme="minorHAnsi"/>
          <w:color w:val="auto"/>
          <w:sz w:val="22"/>
          <w:szCs w:val="22"/>
          <w:shd w:val="clear" w:color="auto" w:fill="FFFFFF"/>
          <w:vertAlign w:val="superscript"/>
          <w:lang w:val="en-GB"/>
        </w:rPr>
        <w:t>th</w:t>
      </w:r>
      <w:r w:rsidRPr="00D75376" w:rsidR="00D75376">
        <w:rPr>
          <w:rFonts w:asciiTheme="minorHAnsi" w:hAnsiTheme="minorHAnsi" w:cstheme="minorHAnsi"/>
          <w:color w:val="auto"/>
          <w:sz w:val="22"/>
          <w:szCs w:val="22"/>
          <w:shd w:val="clear" w:color="auto" w:fill="FFFFFF"/>
          <w:lang w:val="en-GB"/>
        </w:rPr>
        <w:t xml:space="preserve"> International Conference on Financing for Development (FfD4).</w:t>
      </w:r>
      <w:r w:rsidR="00D75376">
        <w:rPr>
          <w:rFonts w:eastAsia="Times New Roman" w:asciiTheme="minorHAnsi" w:hAnsiTheme="minorHAnsi" w:cstheme="minorHAnsi"/>
          <w:sz w:val="22"/>
          <w:szCs w:val="22"/>
          <w:lang w:val="en-GB"/>
        </w:rPr>
        <w:t xml:space="preserve"> </w:t>
      </w:r>
      <w:r w:rsidR="00C41CDE">
        <w:rPr>
          <w:rFonts w:eastAsia="Times New Roman" w:asciiTheme="minorHAnsi" w:hAnsiTheme="minorHAnsi" w:cstheme="minorHAnsi"/>
          <w:sz w:val="22"/>
          <w:szCs w:val="22"/>
        </w:rPr>
        <w:t xml:space="preserve"> </w:t>
      </w:r>
      <w:r w:rsidR="00C40E8F">
        <w:rPr>
          <w:rFonts w:eastAsia="Times New Roman" w:asciiTheme="minorHAnsi" w:hAnsiTheme="minorHAnsi" w:cstheme="minorHAnsi"/>
          <w:sz w:val="22"/>
          <w:szCs w:val="22"/>
        </w:rPr>
        <w:t xml:space="preserve"> </w:t>
      </w:r>
    </w:p>
    <w:p w:rsidRPr="00AF7163" w:rsidR="00AE3E16" w:rsidP="00061F9E" w:rsidRDefault="00C17463" w14:paraId="5605D12B" w14:textId="34F674A6">
      <w:pPr>
        <w:pStyle w:val="pf0"/>
        <w:spacing w:after="120" w:line="259" w:lineRule="auto"/>
        <w:rPr>
          <w:b/>
          <w:bCs/>
          <w:u w:val="single"/>
        </w:rPr>
      </w:pPr>
      <w:r w:rsidRPr="00061F9E">
        <w:rPr>
          <w:rStyle w:val="cf01"/>
          <w:rFonts w:asciiTheme="minorHAnsi" w:hAnsiTheme="minorHAnsi" w:cstheme="minorHAnsi"/>
          <w:sz w:val="22"/>
          <w:szCs w:val="22"/>
        </w:rPr>
        <w:t xml:space="preserve">SDG 17 is crucial for progress on </w:t>
      </w:r>
      <w:proofErr w:type="gramStart"/>
      <w:r w:rsidRPr="00061F9E">
        <w:rPr>
          <w:rStyle w:val="cf01"/>
          <w:rFonts w:asciiTheme="minorHAnsi" w:hAnsiTheme="minorHAnsi" w:cstheme="minorHAnsi"/>
          <w:sz w:val="22"/>
          <w:szCs w:val="22"/>
        </w:rPr>
        <w:t>all of</w:t>
      </w:r>
      <w:proofErr w:type="gramEnd"/>
      <w:r w:rsidRPr="00061F9E">
        <w:rPr>
          <w:rStyle w:val="cf01"/>
          <w:rFonts w:asciiTheme="minorHAnsi" w:hAnsiTheme="minorHAnsi" w:cstheme="minorHAnsi"/>
          <w:sz w:val="22"/>
          <w:szCs w:val="22"/>
        </w:rPr>
        <w:t xml:space="preserve"> the SDGs under review this year.</w:t>
      </w:r>
      <w:r w:rsidRPr="00061F9E" w:rsidR="00F11DD0">
        <w:rPr>
          <w:rStyle w:val="cf01"/>
          <w:rFonts w:asciiTheme="minorHAnsi" w:hAnsiTheme="minorHAnsi" w:cstheme="minorHAnsi"/>
          <w:sz w:val="22"/>
          <w:szCs w:val="22"/>
        </w:rPr>
        <w:t xml:space="preserve"> </w:t>
      </w:r>
      <w:r w:rsidRPr="00061F9E" w:rsidR="00E33A05">
        <w:rPr>
          <w:rStyle w:val="cf01"/>
          <w:rFonts w:asciiTheme="minorHAnsi" w:hAnsiTheme="minorHAnsi" w:cstheme="minorHAnsi"/>
          <w:sz w:val="22"/>
          <w:szCs w:val="22"/>
        </w:rPr>
        <w:t>Continued strengthening of the multilateral system is essential to tackle emerging challenges</w:t>
      </w:r>
      <w:r w:rsidRPr="00061F9E" w:rsidR="0055198C">
        <w:rPr>
          <w:rStyle w:val="cf01"/>
          <w:rFonts w:asciiTheme="minorHAnsi" w:hAnsiTheme="minorHAnsi" w:cstheme="minorHAnsi"/>
          <w:sz w:val="22"/>
          <w:szCs w:val="22"/>
        </w:rPr>
        <w:t xml:space="preserve"> and address gaps and weaknesses in the international architecture</w:t>
      </w:r>
      <w:r w:rsidRPr="00061F9E" w:rsidR="00385085">
        <w:rPr>
          <w:rStyle w:val="cf01"/>
          <w:rFonts w:asciiTheme="minorHAnsi" w:hAnsiTheme="minorHAnsi" w:cstheme="minorHAnsi"/>
          <w:sz w:val="22"/>
          <w:szCs w:val="22"/>
        </w:rPr>
        <w:t xml:space="preserve"> that have </w:t>
      </w:r>
      <w:r w:rsidRPr="00061F9E" w:rsidR="00CB2A6B">
        <w:rPr>
          <w:rStyle w:val="cf01"/>
          <w:rFonts w:asciiTheme="minorHAnsi" w:hAnsiTheme="minorHAnsi" w:cstheme="minorHAnsi"/>
          <w:sz w:val="22"/>
          <w:szCs w:val="22"/>
        </w:rPr>
        <w:t>constrained progress on the SDGs</w:t>
      </w:r>
      <w:r w:rsidRPr="00061F9E" w:rsidR="0055198C">
        <w:rPr>
          <w:rStyle w:val="cf01"/>
          <w:rFonts w:asciiTheme="minorHAnsi" w:hAnsiTheme="minorHAnsi" w:cstheme="minorHAnsi"/>
          <w:sz w:val="22"/>
          <w:szCs w:val="22"/>
        </w:rPr>
        <w:t xml:space="preserve">. </w:t>
      </w:r>
      <w:r w:rsidRPr="00061F9E" w:rsidR="00061F9E">
        <w:rPr>
          <w:rFonts w:asciiTheme="minorHAnsi" w:hAnsiTheme="minorHAnsi" w:cstheme="minorHAnsi"/>
          <w:sz w:val="22"/>
          <w:szCs w:val="22"/>
        </w:rPr>
        <w:t>The Pact</w:t>
      </w:r>
      <w:r w:rsidR="0087327A">
        <w:rPr>
          <w:rFonts w:asciiTheme="minorHAnsi" w:hAnsiTheme="minorHAnsi" w:cstheme="minorHAnsi"/>
          <w:sz w:val="22"/>
          <w:szCs w:val="22"/>
        </w:rPr>
        <w:t xml:space="preserve"> of the Future</w:t>
      </w:r>
      <w:r w:rsidRPr="00061F9E" w:rsidR="00061F9E">
        <w:rPr>
          <w:rFonts w:asciiTheme="minorHAnsi" w:hAnsiTheme="minorHAnsi" w:cstheme="minorHAnsi"/>
          <w:sz w:val="22"/>
          <w:szCs w:val="22"/>
        </w:rPr>
        <w:t xml:space="preserve"> resolved to make the multilateral system more effective, fit for the future, just and representative, inclusive and networked, </w:t>
      </w:r>
      <w:r w:rsidRPr="00061F9E" w:rsidR="00061F9E">
        <w:rPr>
          <w:rFonts w:asciiTheme="minorHAnsi" w:hAnsiTheme="minorHAnsi" w:cstheme="minorHAnsi"/>
          <w:sz w:val="22"/>
          <w:szCs w:val="22"/>
          <w:lang w:val="en-GB"/>
        </w:rPr>
        <w:t>and financially stable.</w:t>
      </w:r>
      <w:r w:rsidR="00061F9E">
        <w:rPr>
          <w:rFonts w:asciiTheme="minorHAnsi" w:hAnsiTheme="minorHAnsi" w:cstheme="minorHAnsi"/>
          <w:sz w:val="22"/>
          <w:szCs w:val="22"/>
          <w:lang w:val="en-GB"/>
        </w:rPr>
        <w:t xml:space="preserve"> </w:t>
      </w:r>
      <w:r w:rsidRPr="00061F9E" w:rsidR="00DF7D64">
        <w:rPr>
          <w:rStyle w:val="cf01"/>
          <w:rFonts w:asciiTheme="minorHAnsi" w:hAnsiTheme="minorHAnsi" w:cstheme="minorHAnsi"/>
          <w:sz w:val="22"/>
          <w:szCs w:val="22"/>
        </w:rPr>
        <w:t>Equitable access for develop</w:t>
      </w:r>
      <w:r w:rsidRPr="00061F9E" w:rsidR="00215377">
        <w:rPr>
          <w:rStyle w:val="cf01"/>
          <w:rFonts w:asciiTheme="minorHAnsi" w:hAnsiTheme="minorHAnsi" w:cstheme="minorHAnsi"/>
          <w:sz w:val="22"/>
          <w:szCs w:val="22"/>
        </w:rPr>
        <w:t xml:space="preserve">ing countries to the fruits of science, </w:t>
      </w:r>
      <w:r w:rsidRPr="00061F9E" w:rsidR="002D35FE">
        <w:rPr>
          <w:rStyle w:val="cf01"/>
          <w:rFonts w:asciiTheme="minorHAnsi" w:hAnsiTheme="minorHAnsi" w:cstheme="minorHAnsi"/>
          <w:sz w:val="22"/>
          <w:szCs w:val="22"/>
        </w:rPr>
        <w:t>technology,</w:t>
      </w:r>
      <w:r w:rsidRPr="00061F9E" w:rsidR="00215377">
        <w:rPr>
          <w:rStyle w:val="cf01"/>
          <w:rFonts w:asciiTheme="minorHAnsi" w:hAnsiTheme="minorHAnsi" w:cstheme="minorHAnsi"/>
          <w:sz w:val="22"/>
          <w:szCs w:val="22"/>
        </w:rPr>
        <w:t xml:space="preserve"> and innovation, </w:t>
      </w:r>
      <w:r w:rsidR="00BB1949">
        <w:rPr>
          <w:rStyle w:val="cf01"/>
          <w:rFonts w:asciiTheme="minorHAnsi" w:hAnsiTheme="minorHAnsi" w:cstheme="minorHAnsi"/>
          <w:sz w:val="22"/>
          <w:szCs w:val="22"/>
        </w:rPr>
        <w:t>are key</w:t>
      </w:r>
      <w:r w:rsidRPr="00061F9E" w:rsidR="00D44D9C">
        <w:rPr>
          <w:rStyle w:val="cf01"/>
          <w:rFonts w:asciiTheme="minorHAnsi" w:hAnsiTheme="minorHAnsi" w:cstheme="minorHAnsi"/>
          <w:sz w:val="22"/>
          <w:szCs w:val="22"/>
        </w:rPr>
        <w:t xml:space="preserve"> priorities</w:t>
      </w:r>
      <w:r w:rsidR="00061F9E">
        <w:rPr>
          <w:rStyle w:val="cf01"/>
          <w:rFonts w:asciiTheme="minorHAnsi" w:hAnsiTheme="minorHAnsi" w:cstheme="minorHAnsi"/>
          <w:sz w:val="22"/>
          <w:szCs w:val="22"/>
        </w:rPr>
        <w:t xml:space="preserve">. </w:t>
      </w:r>
    </w:p>
    <w:p w:rsidRPr="00860AC6" w:rsidR="00AE3E16" w:rsidP="00FA1E09" w:rsidRDefault="00064725" w14:paraId="148DE81E" w14:textId="40C4970C">
      <w:pPr>
        <w:spacing w:after="120"/>
        <w:rPr>
          <w:b/>
          <w:bCs/>
          <w:color w:val="0070C0"/>
          <w:u w:val="single"/>
        </w:rPr>
      </w:pPr>
      <w:r w:rsidRPr="00860AC6">
        <w:rPr>
          <w:b/>
          <w:bCs/>
          <w:color w:val="0070C0"/>
          <w:u w:val="single"/>
        </w:rPr>
        <w:t>SDG</w:t>
      </w:r>
      <w:r w:rsidRPr="00860AC6" w:rsidR="000D6329">
        <w:rPr>
          <w:b/>
          <w:bCs/>
          <w:color w:val="0070C0"/>
          <w:u w:val="single"/>
        </w:rPr>
        <w:t xml:space="preserve"> </w:t>
      </w:r>
      <w:r w:rsidRPr="00860AC6" w:rsidR="008659A6">
        <w:rPr>
          <w:b/>
          <w:bCs/>
          <w:color w:val="0070C0"/>
          <w:u w:val="single"/>
        </w:rPr>
        <w:t>thematic review format</w:t>
      </w:r>
    </w:p>
    <w:p w:rsidR="0031219A" w:rsidP="000F4959" w:rsidRDefault="00AE3E16" w14:paraId="4BD8D823" w14:textId="063ECE23">
      <w:pPr>
        <w:spacing w:after="120"/>
      </w:pPr>
      <w:r>
        <w:t xml:space="preserve">Thematic reviews of </w:t>
      </w:r>
      <w:r w:rsidR="00D077ED">
        <w:t xml:space="preserve">SDGs </w:t>
      </w:r>
      <w:r w:rsidR="00DE346A">
        <w:t>3,</w:t>
      </w:r>
      <w:r w:rsidR="006953FF">
        <w:t xml:space="preserve"> </w:t>
      </w:r>
      <w:r w:rsidR="00DE346A">
        <w:t>5, 8</w:t>
      </w:r>
      <w:r w:rsidR="00D077ED">
        <w:t>,</w:t>
      </w:r>
      <w:r w:rsidR="00DE346A">
        <w:t xml:space="preserve"> 14</w:t>
      </w:r>
      <w:r w:rsidR="00D077ED">
        <w:t xml:space="preserve"> and 17</w:t>
      </w:r>
      <w:r w:rsidR="00391899">
        <w:t xml:space="preserve"> and their</w:t>
      </w:r>
      <w:r w:rsidR="00A6541B">
        <w:t xml:space="preserve"> </w:t>
      </w:r>
      <w:r w:rsidR="00700235">
        <w:t xml:space="preserve">interlinkages </w:t>
      </w:r>
      <w:r w:rsidR="00A6541B">
        <w:t>across</w:t>
      </w:r>
      <w:r w:rsidR="00666542">
        <w:t xml:space="preserve"> the SDGs</w:t>
      </w:r>
      <w:r>
        <w:t xml:space="preserve"> </w:t>
      </w:r>
      <w:r w:rsidR="006953FF">
        <w:t xml:space="preserve">will </w:t>
      </w:r>
      <w:r w:rsidR="00391899">
        <w:t xml:space="preserve">be </w:t>
      </w:r>
      <w:r w:rsidR="006953FF">
        <w:t>informed by the latest research and evidence</w:t>
      </w:r>
      <w:r w:rsidR="00DC440C">
        <w:t>, as well as case studies</w:t>
      </w:r>
      <w:r w:rsidR="00230D2C">
        <w:t>,</w:t>
      </w:r>
      <w:r w:rsidR="006953FF">
        <w:t xml:space="preserve"> from</w:t>
      </w:r>
      <w:r w:rsidR="00C62714">
        <w:t xml:space="preserve"> the UN System, government, the private sector, academia, and civil society</w:t>
      </w:r>
      <w:r w:rsidR="00AD7B13">
        <w:t xml:space="preserve"> </w:t>
      </w:r>
      <w:r w:rsidR="0038225F">
        <w:t>work</w:t>
      </w:r>
      <w:r w:rsidR="00230D2C">
        <w:t>ing</w:t>
      </w:r>
      <w:r w:rsidR="00AD7B13">
        <w:t xml:space="preserve"> </w:t>
      </w:r>
      <w:r w:rsidR="00EA6262">
        <w:t xml:space="preserve">through </w:t>
      </w:r>
      <w:r w:rsidR="00AD7B13">
        <w:t xml:space="preserve">existing mechanisms </w:t>
      </w:r>
      <w:r w:rsidR="00EA6262">
        <w:t>such as</w:t>
      </w:r>
      <w:r w:rsidR="00AD7B13">
        <w:t xml:space="preserve"> ECESA </w:t>
      </w:r>
      <w:r w:rsidR="00DC440C">
        <w:t>P</w:t>
      </w:r>
      <w:r w:rsidR="00AD7B13">
        <w:t xml:space="preserve">lus, </w:t>
      </w:r>
      <w:r w:rsidR="009D634A">
        <w:t>the Major Groups and Other Stakeholders,</w:t>
      </w:r>
      <w:r w:rsidR="006B30CB">
        <w:t xml:space="preserve"> </w:t>
      </w:r>
      <w:r w:rsidR="009D634A">
        <w:t xml:space="preserve">the </w:t>
      </w:r>
      <w:r w:rsidRPr="00CE116C" w:rsidR="00CE116C">
        <w:t>UN interagency task team on STI for the SDGs (</w:t>
      </w:r>
      <w:r w:rsidRPr="00CE116C" w:rsidR="00CE116C">
        <w:rPr>
          <w:b/>
          <w:bCs/>
        </w:rPr>
        <w:t>IATT</w:t>
      </w:r>
      <w:r w:rsidRPr="00CE116C" w:rsidR="00CE116C">
        <w:t>)</w:t>
      </w:r>
      <w:r w:rsidR="00CE116C">
        <w:t>,</w:t>
      </w:r>
      <w:r w:rsidR="00EA6262">
        <w:t xml:space="preserve"> the UN Economist Network</w:t>
      </w:r>
      <w:r w:rsidR="004B71F0">
        <w:t xml:space="preserve">, the </w:t>
      </w:r>
      <w:r w:rsidR="00FF13BC">
        <w:t>Independent</w:t>
      </w:r>
      <w:r w:rsidR="004B71F0">
        <w:t xml:space="preserve"> Group of </w:t>
      </w:r>
      <w:r w:rsidR="00FF13BC">
        <w:t>Scientists</w:t>
      </w:r>
      <w:r w:rsidR="004B71F0">
        <w:t xml:space="preserve"> and the 10-</w:t>
      </w:r>
      <w:r w:rsidR="001B18A9">
        <w:t>M</w:t>
      </w:r>
      <w:r w:rsidR="004B71F0">
        <w:t xml:space="preserve">ember </w:t>
      </w:r>
      <w:r w:rsidR="001B18A9">
        <w:t>G</w:t>
      </w:r>
      <w:r w:rsidR="004B71F0">
        <w:t>roup</w:t>
      </w:r>
      <w:r w:rsidR="001B18A9">
        <w:t xml:space="preserve"> of High-level Representatives</w:t>
      </w:r>
      <w:r w:rsidR="00B337E1">
        <w:t>. Reviews will be based on reports and policy-briefs</w:t>
      </w:r>
      <w:r w:rsidR="004B71F0">
        <w:t xml:space="preserve"> from these sources</w:t>
      </w:r>
      <w:r w:rsidR="006B30CB">
        <w:t xml:space="preserve"> as well as the outcomes of regional SDG Forums.</w:t>
      </w:r>
      <w:r w:rsidR="004B71F0">
        <w:t xml:space="preserve"> </w:t>
      </w:r>
      <w:r w:rsidR="006B30CB">
        <w:t xml:space="preserve">The </w:t>
      </w:r>
      <w:r w:rsidR="001C423E">
        <w:t>reviews</w:t>
      </w:r>
      <w:r w:rsidR="006B30CB">
        <w:t xml:space="preserve"> will also be </w:t>
      </w:r>
      <w:r w:rsidR="001C423E">
        <w:t xml:space="preserve">informed by a </w:t>
      </w:r>
      <w:r w:rsidR="004B71F0">
        <w:t xml:space="preserve">series of </w:t>
      </w:r>
      <w:r>
        <w:t>E</w:t>
      </w:r>
      <w:r w:rsidR="00F45A9F">
        <w:t xml:space="preserve">xpert </w:t>
      </w:r>
      <w:r>
        <w:t>G</w:t>
      </w:r>
      <w:r w:rsidR="00F45A9F">
        <w:t xml:space="preserve">roup </w:t>
      </w:r>
      <w:r>
        <w:t>M</w:t>
      </w:r>
      <w:r w:rsidR="00F45A9F">
        <w:t>eeting</w:t>
      </w:r>
      <w:r>
        <w:t>s</w:t>
      </w:r>
      <w:r w:rsidR="001B18A9">
        <w:t xml:space="preserve"> (EGMs). </w:t>
      </w:r>
      <w:r w:rsidR="00315A1A">
        <w:t xml:space="preserve"> </w:t>
      </w:r>
      <w:r w:rsidRPr="00D43F10" w:rsidR="0031219A">
        <w:rPr>
          <w:b/>
          <w:bCs/>
          <w:u w:val="single"/>
        </w:rPr>
        <w:t xml:space="preserve">The outcomes of the thematic reviews </w:t>
      </w:r>
      <w:r w:rsidRPr="00D43F10" w:rsidR="005372CB">
        <w:rPr>
          <w:b/>
          <w:bCs/>
          <w:u w:val="single"/>
        </w:rPr>
        <w:t xml:space="preserve">for each in-focus Goal </w:t>
      </w:r>
      <w:r w:rsidRPr="00D43F10" w:rsidR="0031219A">
        <w:rPr>
          <w:b/>
          <w:bCs/>
          <w:u w:val="single"/>
        </w:rPr>
        <w:t>will be</w:t>
      </w:r>
      <w:r w:rsidRPr="00D43F10" w:rsidR="005372CB">
        <w:rPr>
          <w:b/>
          <w:bCs/>
          <w:u w:val="single"/>
        </w:rPr>
        <w:t xml:space="preserve"> </w:t>
      </w:r>
      <w:r w:rsidRPr="00D43F10" w:rsidR="00A179E6">
        <w:rPr>
          <w:b/>
          <w:bCs/>
          <w:u w:val="single"/>
        </w:rPr>
        <w:t>an approximately 10-page</w:t>
      </w:r>
      <w:r w:rsidRPr="00D43F10" w:rsidR="005372CB">
        <w:rPr>
          <w:b/>
          <w:bCs/>
          <w:u w:val="single"/>
        </w:rPr>
        <w:t xml:space="preserve"> background note</w:t>
      </w:r>
      <w:r w:rsidRPr="00D43F10" w:rsidR="00A179E6">
        <w:rPr>
          <w:b/>
          <w:bCs/>
          <w:u w:val="single"/>
        </w:rPr>
        <w:t xml:space="preserve"> together with a succinct </w:t>
      </w:r>
      <w:r w:rsidRPr="00D43F10" w:rsidR="00D80C81">
        <w:rPr>
          <w:b/>
          <w:bCs/>
          <w:u w:val="single"/>
        </w:rPr>
        <w:t>2-page note to inform the discussion at the 2025 HLPF.</w:t>
      </w:r>
      <w:r w:rsidR="00D80C81">
        <w:t xml:space="preserve"> </w:t>
      </w:r>
    </w:p>
    <w:p w:rsidR="00AB4A3D" w:rsidP="00EC787E" w:rsidRDefault="004027DA" w14:paraId="60D61F00" w14:textId="1BA97F73">
      <w:pPr>
        <w:spacing w:after="120"/>
      </w:pPr>
      <w:r>
        <w:t xml:space="preserve">The series of </w:t>
      </w:r>
      <w:r w:rsidR="001703FE">
        <w:t xml:space="preserve">EGMs </w:t>
      </w:r>
      <w:r w:rsidR="005217BF">
        <w:t>(one for each G</w:t>
      </w:r>
      <w:r w:rsidR="00A032F4">
        <w:t>oa</w:t>
      </w:r>
      <w:r w:rsidR="005217BF">
        <w:t>l under review</w:t>
      </w:r>
      <w:r w:rsidR="00A032F4">
        <w:t xml:space="preserve"> with SDG 17 covered in each EGM</w:t>
      </w:r>
      <w:r w:rsidR="005217BF">
        <w:t xml:space="preserve">) </w:t>
      </w:r>
      <w:r>
        <w:t xml:space="preserve">will </w:t>
      </w:r>
      <w:r w:rsidR="004129C9">
        <w:t>be organized</w:t>
      </w:r>
      <w:r>
        <w:t xml:space="preserve"> in early 2025</w:t>
      </w:r>
      <w:r w:rsidR="00EC787E">
        <w:t xml:space="preserve"> </w:t>
      </w:r>
      <w:r w:rsidR="004129C9">
        <w:t xml:space="preserve">by the </w:t>
      </w:r>
      <w:r w:rsidRPr="00EC787E" w:rsidR="00EC787E">
        <w:t>United Nations Department of Economic and Social Affairs (UNDESA), in collaboration with relevant UN system partners</w:t>
      </w:r>
      <w:r w:rsidR="00A032F4">
        <w:t>.</w:t>
      </w:r>
      <w:r w:rsidR="004129C9">
        <w:t xml:space="preserve"> </w:t>
      </w:r>
      <w:r w:rsidR="00B6028F">
        <w:t>The</w:t>
      </w:r>
      <w:r w:rsidR="00744E94">
        <w:t xml:space="preserve"> meetings</w:t>
      </w:r>
      <w:r>
        <w:t xml:space="preserve"> </w:t>
      </w:r>
      <w:r w:rsidR="00B6028F">
        <w:t xml:space="preserve">will </w:t>
      </w:r>
      <w:r w:rsidR="00594379">
        <w:t>bring together diverse</w:t>
      </w:r>
      <w:r w:rsidR="00B6028F">
        <w:t xml:space="preserve"> </w:t>
      </w:r>
      <w:r w:rsidR="001703FE">
        <w:t>experts</w:t>
      </w:r>
      <w:r w:rsidR="00C172BE">
        <w:t xml:space="preserve"> from </w:t>
      </w:r>
      <w:r w:rsidR="00C172BE">
        <w:t>government, the private sector, academia, and civil society</w:t>
      </w:r>
      <w:r w:rsidR="00C172BE">
        <w:t xml:space="preserve"> and the UN system</w:t>
      </w:r>
      <w:r w:rsidR="001703FE">
        <w:t xml:space="preserve"> </w:t>
      </w:r>
      <w:r w:rsidR="001E71F7">
        <w:t xml:space="preserve">to identify </w:t>
      </w:r>
      <w:r w:rsidR="00F0420A">
        <w:t xml:space="preserve">progress and challenges, share lessons learned and identify promising </w:t>
      </w:r>
      <w:r w:rsidR="00AB4A3D">
        <w:t>partnerships</w:t>
      </w:r>
      <w:r w:rsidR="00F0420A">
        <w:t xml:space="preserve"> and opportunities for </w:t>
      </w:r>
      <w:r w:rsidR="00BC36C2">
        <w:t xml:space="preserve">rapidly scaling up action </w:t>
      </w:r>
      <w:r w:rsidR="0040653D">
        <w:t xml:space="preserve">toward achieving each of the goals </w:t>
      </w:r>
      <w:r w:rsidR="00BC36C2">
        <w:t>while</w:t>
      </w:r>
      <w:r w:rsidR="0040653D">
        <w:t xml:space="preserve"> also generat</w:t>
      </w:r>
      <w:r w:rsidR="00BC36C2">
        <w:t>ing</w:t>
      </w:r>
      <w:r w:rsidR="0040653D">
        <w:t xml:space="preserve"> synergies and address</w:t>
      </w:r>
      <w:r w:rsidR="006B36BC">
        <w:t>ing</w:t>
      </w:r>
      <w:r w:rsidR="0040653D">
        <w:t xml:space="preserve"> trade-offs with other goals</w:t>
      </w:r>
      <w:r w:rsidR="00AB4A3D">
        <w:t>.</w:t>
      </w:r>
      <w:r w:rsidR="009C709A">
        <w:t xml:space="preserve"> </w:t>
      </w:r>
      <w:r w:rsidR="000F4959">
        <w:t>The focus of these</w:t>
      </w:r>
      <w:r w:rsidR="00A8295C">
        <w:t xml:space="preserve"> EGMs could build on the </w:t>
      </w:r>
      <w:r w:rsidR="00A72514">
        <w:t xml:space="preserve">extensive background materials prepared </w:t>
      </w:r>
      <w:r w:rsidR="0040653D">
        <w:t xml:space="preserve">for </w:t>
      </w:r>
      <w:r w:rsidR="008B369F">
        <w:t>each of these SDGs when they were last reviewed (see Annex A)</w:t>
      </w:r>
      <w:r w:rsidR="00C54F68">
        <w:t xml:space="preserve">, while also assessing new challenges linked to the current context of crises as well as </w:t>
      </w:r>
      <w:r w:rsidR="006E4291">
        <w:t xml:space="preserve">ways to harness the momentum, </w:t>
      </w:r>
      <w:r w:rsidR="00C9515A">
        <w:t xml:space="preserve">opportunities and solutions driven by </w:t>
      </w:r>
      <w:r w:rsidR="00E36800">
        <w:t>the SDG Summit</w:t>
      </w:r>
      <w:r w:rsidR="007615EF">
        <w:t xml:space="preserve"> and the Pact of the Future</w:t>
      </w:r>
      <w:r w:rsidR="00A72514">
        <w:t xml:space="preserve">. </w:t>
      </w:r>
    </w:p>
    <w:p w:rsidR="003C1E09" w:rsidP="00907886" w:rsidRDefault="00AB4A3D" w14:paraId="060FE66E" w14:textId="6527D0E4">
      <w:pPr>
        <w:spacing w:after="120"/>
      </w:pPr>
      <w:r>
        <w:t xml:space="preserve">These EGMs </w:t>
      </w:r>
      <w:r w:rsidR="00D00F89">
        <w:t>c</w:t>
      </w:r>
      <w:r>
        <w:t xml:space="preserve">ould be structured in larger plenary sessions to </w:t>
      </w:r>
      <w:r w:rsidR="00E870BD">
        <w:t>identify overarching trends, opportunities and challenges,</w:t>
      </w:r>
      <w:r w:rsidR="00773204">
        <w:t xml:space="preserve"> </w:t>
      </w:r>
      <w:r>
        <w:t xml:space="preserve">and </w:t>
      </w:r>
      <w:r w:rsidR="00D00F89">
        <w:t xml:space="preserve">smaller </w:t>
      </w:r>
      <w:r>
        <w:t>break-out groups to generate rich dialogue</w:t>
      </w:r>
      <w:r w:rsidR="00664D98">
        <w:t xml:space="preserve">, including </w:t>
      </w:r>
      <w:r w:rsidR="002B4458">
        <w:t>to identify synergies and manage trade-offs with other Goals</w:t>
      </w:r>
      <w:r w:rsidR="00A17290">
        <w:t>. The EGMs, together with other analytical resources, will help</w:t>
      </w:r>
      <w:r w:rsidR="00D00F89">
        <w:t xml:space="preserve"> to inform the HLPF structure and substantive content. The EGMs </w:t>
      </w:r>
      <w:r w:rsidR="00A17290">
        <w:t xml:space="preserve">will </w:t>
      </w:r>
      <w:r w:rsidR="00D00F89">
        <w:t>also provide a space to identify potential resource persons for the HLPF.</w:t>
      </w:r>
      <w:r w:rsidR="00373C17">
        <w:t xml:space="preserve"> </w:t>
      </w:r>
      <w:r w:rsidRPr="00D43F10" w:rsidR="009B6D69">
        <w:rPr>
          <w:b/>
          <w:bCs/>
          <w:u w:val="single"/>
        </w:rPr>
        <w:t xml:space="preserve">The outcome of each EGM will be a concise </w:t>
      </w:r>
      <w:r w:rsidRPr="00D43F10" w:rsidR="003A3F1B">
        <w:rPr>
          <w:b/>
          <w:bCs/>
          <w:u w:val="single"/>
        </w:rPr>
        <w:t xml:space="preserve">and </w:t>
      </w:r>
      <w:r w:rsidRPr="00D43F10" w:rsidR="00907886">
        <w:rPr>
          <w:b/>
          <w:bCs/>
          <w:u w:val="single"/>
        </w:rPr>
        <w:t>action-oriented</w:t>
      </w:r>
      <w:r w:rsidRPr="00D43F10" w:rsidR="003A3F1B">
        <w:rPr>
          <w:b/>
          <w:bCs/>
          <w:u w:val="single"/>
        </w:rPr>
        <w:t xml:space="preserve"> </w:t>
      </w:r>
      <w:r w:rsidRPr="00D43F10" w:rsidR="009B6D69">
        <w:rPr>
          <w:b/>
          <w:bCs/>
          <w:u w:val="single"/>
        </w:rPr>
        <w:t>summary note</w:t>
      </w:r>
      <w:r w:rsidRPr="00D43F10" w:rsidR="003A3F1B">
        <w:rPr>
          <w:b/>
          <w:bCs/>
          <w:u w:val="single"/>
        </w:rPr>
        <w:t>.</w:t>
      </w:r>
      <w:r w:rsidRPr="00D43F10" w:rsidR="00907886">
        <w:rPr>
          <w:b/>
          <w:bCs/>
          <w:u w:val="single"/>
        </w:rPr>
        <w:t xml:space="preserve"> </w:t>
      </w:r>
      <w:r w:rsidR="00907886">
        <w:t>These EGM summar</w:t>
      </w:r>
      <w:r w:rsidR="006B30CB">
        <w:t>ies will</w:t>
      </w:r>
      <w:r w:rsidR="009C709A">
        <w:t xml:space="preserve">, together with </w:t>
      </w:r>
      <w:r w:rsidR="00ED3C74">
        <w:t xml:space="preserve">other </w:t>
      </w:r>
      <w:r w:rsidR="006B30CB">
        <w:t xml:space="preserve">previously mentioned </w:t>
      </w:r>
      <w:r w:rsidR="00B208C9">
        <w:t>resources</w:t>
      </w:r>
      <w:r w:rsidR="00A06EBA">
        <w:t>,</w:t>
      </w:r>
      <w:r w:rsidR="004B3659">
        <w:t xml:space="preserve"> </w:t>
      </w:r>
      <w:r w:rsidR="00E75763">
        <w:t>inform</w:t>
      </w:r>
      <w:r w:rsidR="00BB2011">
        <w:t xml:space="preserve"> the </w:t>
      </w:r>
      <w:r w:rsidR="00E75763">
        <w:t xml:space="preserve">2025 </w:t>
      </w:r>
      <w:r w:rsidR="00BB2011">
        <w:t xml:space="preserve">HLPF </w:t>
      </w:r>
      <w:r w:rsidR="00A03585">
        <w:t>thematic</w:t>
      </w:r>
      <w:r w:rsidR="00BB2011">
        <w:t xml:space="preserve"> sessions</w:t>
      </w:r>
      <w:r w:rsidR="004B3659">
        <w:t>.</w:t>
      </w:r>
      <w:r w:rsidR="00D93AEF">
        <w:t xml:space="preserve"> </w:t>
      </w:r>
      <w:r w:rsidR="007D0235">
        <w:t xml:space="preserve">A briefing to Member States on the main </w:t>
      </w:r>
      <w:r w:rsidR="00E27914">
        <w:t xml:space="preserve">messages coming </w:t>
      </w:r>
      <w:r w:rsidR="00E75763">
        <w:t>from</w:t>
      </w:r>
      <w:r w:rsidR="00E27914">
        <w:t xml:space="preserve"> the EGMs could be arranged to help in preparations for the HLPF.</w:t>
      </w:r>
    </w:p>
    <w:p w:rsidR="003C1E09" w:rsidP="00FA1E09" w:rsidRDefault="00BA1617" w14:paraId="61F2CF41" w14:textId="242FAFF4">
      <w:pPr>
        <w:spacing w:after="120"/>
      </w:pPr>
      <w:r>
        <w:t>M</w:t>
      </w:r>
      <w:r w:rsidR="003C1E09">
        <w:t xml:space="preserve">aterials </w:t>
      </w:r>
      <w:r>
        <w:t xml:space="preserve">to be developed </w:t>
      </w:r>
      <w:r w:rsidR="003C1E09">
        <w:t xml:space="preserve">for each </w:t>
      </w:r>
      <w:r w:rsidR="00A579FC">
        <w:t>E</w:t>
      </w:r>
      <w:r w:rsidR="003C1E09">
        <w:t xml:space="preserve">GM </w:t>
      </w:r>
      <w:r>
        <w:t>would</w:t>
      </w:r>
      <w:r w:rsidR="00DB0F25">
        <w:t xml:space="preserve"> </w:t>
      </w:r>
      <w:r w:rsidR="003C1E09">
        <w:t>include:</w:t>
      </w:r>
    </w:p>
    <w:p w:rsidR="003C1E09" w:rsidP="00FA1E09" w:rsidRDefault="003C1E09" w14:paraId="3FE15F1E" w14:textId="35544D13">
      <w:pPr>
        <w:pStyle w:val="ListParagraph"/>
        <w:numPr>
          <w:ilvl w:val="0"/>
          <w:numId w:val="4"/>
        </w:numPr>
        <w:spacing w:after="120" w:line="259" w:lineRule="auto"/>
      </w:pPr>
      <w:r>
        <w:t xml:space="preserve">Concept note and guiding questions for EGM </w:t>
      </w:r>
      <w:r w:rsidR="00A579FC">
        <w:t>participants</w:t>
      </w:r>
    </w:p>
    <w:p w:rsidR="00DB0F25" w:rsidP="00FA1E09" w:rsidRDefault="00DB0F25" w14:paraId="7E1DA691" w14:textId="4A9DEF02">
      <w:pPr>
        <w:pStyle w:val="ListParagraph"/>
        <w:numPr>
          <w:ilvl w:val="0"/>
          <w:numId w:val="4"/>
        </w:numPr>
        <w:spacing w:after="120" w:line="259" w:lineRule="auto"/>
      </w:pPr>
      <w:r>
        <w:lastRenderedPageBreak/>
        <w:t>Participant and speaker lists, bios</w:t>
      </w:r>
    </w:p>
    <w:p w:rsidRPr="00FA1E09" w:rsidR="003F37B1" w:rsidP="00FA1E09" w:rsidRDefault="00A12CFE" w14:paraId="261678C5" w14:textId="2F044DE2">
      <w:pPr>
        <w:pStyle w:val="ListParagraph"/>
        <w:numPr>
          <w:ilvl w:val="0"/>
          <w:numId w:val="4"/>
        </w:numPr>
        <w:spacing w:after="120" w:line="259" w:lineRule="auto"/>
      </w:pPr>
      <w:r>
        <w:t xml:space="preserve">EGM </w:t>
      </w:r>
      <w:proofErr w:type="gramStart"/>
      <w:r>
        <w:t>summary</w:t>
      </w:r>
      <w:proofErr w:type="gramEnd"/>
      <w:r>
        <w:t xml:space="preserve"> </w:t>
      </w:r>
      <w:r w:rsidR="00E535ED">
        <w:t xml:space="preserve">note </w:t>
      </w:r>
      <w:r>
        <w:t xml:space="preserve">and </w:t>
      </w:r>
      <w:r w:rsidR="00DB0F25">
        <w:t>key messages</w:t>
      </w:r>
    </w:p>
    <w:p w:rsidRPr="006A6CF7" w:rsidR="00CB7B8A" w:rsidP="00FA1E09" w:rsidRDefault="00CB65A6" w14:paraId="13317431" w14:textId="1AF5D990">
      <w:pPr>
        <w:spacing w:after="120"/>
      </w:pPr>
      <w:r w:rsidRPr="006A6CF7">
        <w:t>General guiding questions may include:</w:t>
      </w:r>
    </w:p>
    <w:p w:rsidRPr="00CB7B8A" w:rsidR="00CB7B8A" w:rsidP="00FA1E09" w:rsidRDefault="00CB65A6" w14:paraId="45E420AA" w14:textId="217E5E6C">
      <w:pPr>
        <w:pStyle w:val="ListParagraph"/>
        <w:numPr>
          <w:ilvl w:val="0"/>
          <w:numId w:val="6"/>
        </w:numPr>
        <w:spacing w:after="120" w:line="259" w:lineRule="auto"/>
        <w:contextualSpacing w:val="0"/>
        <w:rPr>
          <w:rFonts w:cstheme="minorHAnsi"/>
        </w:rPr>
      </w:pPr>
      <w:r w:rsidRPr="006A6CF7">
        <w:rPr>
          <w:rFonts w:cstheme="minorHAnsi"/>
        </w:rPr>
        <w:t xml:space="preserve">What is the </w:t>
      </w:r>
      <w:proofErr w:type="gramStart"/>
      <w:r w:rsidRPr="006A6CF7">
        <w:rPr>
          <w:rFonts w:cstheme="minorHAnsi"/>
        </w:rPr>
        <w:t>current status</w:t>
      </w:r>
      <w:proofErr w:type="gramEnd"/>
      <w:r w:rsidRPr="006A6CF7">
        <w:rPr>
          <w:rFonts w:cstheme="minorHAnsi"/>
        </w:rPr>
        <w:t xml:space="preserve"> of the Goal or target, in terms of actual measured progress and trends?</w:t>
      </w:r>
      <w:r w:rsidR="00717DE9">
        <w:rPr>
          <w:rFonts w:cstheme="minorHAnsi"/>
        </w:rPr>
        <w:t xml:space="preserve"> </w:t>
      </w:r>
      <w:r w:rsidRPr="00CB7B8A" w:rsidR="00CB7B8A">
        <w:rPr>
          <w:rFonts w:cstheme="minorHAnsi"/>
        </w:rPr>
        <w:t>What new/promising openings are there for tracking progress, including from additional data sources?</w:t>
      </w:r>
    </w:p>
    <w:p w:rsidRPr="00FA1E09" w:rsidR="00F7419E" w:rsidP="00F7419E" w:rsidRDefault="00F7419E" w14:paraId="659E6F2E" w14:textId="77777777">
      <w:pPr>
        <w:pStyle w:val="ListParagraph"/>
        <w:numPr>
          <w:ilvl w:val="0"/>
          <w:numId w:val="6"/>
        </w:numPr>
        <w:spacing w:after="120" w:line="259" w:lineRule="auto"/>
        <w:contextualSpacing w:val="0"/>
        <w:rPr>
          <w:b/>
          <w:bCs/>
          <w:u w:val="single"/>
        </w:rPr>
      </w:pPr>
      <w:r>
        <w:rPr>
          <w:rFonts w:cstheme="minorHAnsi"/>
        </w:rPr>
        <w:t>Over the past 10 years since 2015, what have been the biggest impediments to implementing this Goal including in different regions? Looking at the next 5 years and beyond, what are some emerging opportunities or spaces for overcoming these?</w:t>
      </w:r>
    </w:p>
    <w:p w:rsidRPr="006A6CF7" w:rsidR="00CB65A6" w:rsidP="00FA1E09" w:rsidRDefault="009B086B" w14:paraId="421FDEE4" w14:textId="62A70375">
      <w:pPr>
        <w:pStyle w:val="ListParagraph"/>
        <w:numPr>
          <w:ilvl w:val="0"/>
          <w:numId w:val="6"/>
        </w:numPr>
        <w:spacing w:after="120" w:line="259" w:lineRule="auto"/>
        <w:contextualSpacing w:val="0"/>
        <w:rPr>
          <w:rFonts w:cstheme="minorHAnsi"/>
        </w:rPr>
      </w:pPr>
      <w:r>
        <w:rPr>
          <w:rFonts w:cstheme="minorHAnsi"/>
        </w:rPr>
        <w:t xml:space="preserve">How </w:t>
      </w:r>
      <w:r w:rsidR="00857CE6">
        <w:rPr>
          <w:rFonts w:cstheme="minorHAnsi"/>
        </w:rPr>
        <w:t xml:space="preserve">might </w:t>
      </w:r>
      <w:r w:rsidR="000C2485">
        <w:rPr>
          <w:rFonts w:cstheme="minorHAnsi"/>
        </w:rPr>
        <w:t>recent crises</w:t>
      </w:r>
      <w:r w:rsidR="00B4547D">
        <w:rPr>
          <w:rFonts w:cstheme="minorHAnsi"/>
        </w:rPr>
        <w:t xml:space="preserve">, new </w:t>
      </w:r>
      <w:r w:rsidR="00857CE6">
        <w:rPr>
          <w:rFonts w:cstheme="minorHAnsi"/>
        </w:rPr>
        <w:t>commitments</w:t>
      </w:r>
      <w:r w:rsidR="00B4547D">
        <w:rPr>
          <w:rFonts w:cstheme="minorHAnsi"/>
        </w:rPr>
        <w:t xml:space="preserve"> including in the Pact</w:t>
      </w:r>
      <w:r w:rsidR="000C2485">
        <w:rPr>
          <w:rFonts w:cstheme="minorHAnsi"/>
        </w:rPr>
        <w:t xml:space="preserve"> and emerging technologies</w:t>
      </w:r>
      <w:r>
        <w:rPr>
          <w:rFonts w:cstheme="minorHAnsi"/>
        </w:rPr>
        <w:t xml:space="preserve"> affect longer term trends and change the landscape for achieving this </w:t>
      </w:r>
      <w:r w:rsidR="00857CE6">
        <w:rPr>
          <w:rFonts w:cstheme="minorHAnsi"/>
        </w:rPr>
        <w:t>Goal</w:t>
      </w:r>
      <w:r w:rsidRPr="006A6CF7" w:rsidR="00CB65A6">
        <w:rPr>
          <w:rFonts w:cstheme="minorHAnsi"/>
        </w:rPr>
        <w:t xml:space="preserve">? </w:t>
      </w:r>
    </w:p>
    <w:p w:rsidR="00CB65A6" w:rsidP="00FA1E09" w:rsidRDefault="00DF0F62" w14:paraId="0B1CE405" w14:textId="13B27A0E">
      <w:pPr>
        <w:pStyle w:val="ListParagraph"/>
        <w:numPr>
          <w:ilvl w:val="1"/>
          <w:numId w:val="6"/>
        </w:numPr>
        <w:spacing w:after="120" w:line="259" w:lineRule="auto"/>
        <w:contextualSpacing w:val="0"/>
        <w:rPr>
          <w:rFonts w:cstheme="minorHAnsi"/>
        </w:rPr>
      </w:pPr>
      <w:r>
        <w:rPr>
          <w:rFonts w:cstheme="minorHAnsi"/>
        </w:rPr>
        <w:t>Are there a</w:t>
      </w:r>
      <w:r w:rsidRPr="006A6CF7">
        <w:rPr>
          <w:rFonts w:cstheme="minorHAnsi"/>
        </w:rPr>
        <w:t xml:space="preserve">dditional </w:t>
      </w:r>
      <w:r w:rsidRPr="006A6CF7" w:rsidR="00CB65A6">
        <w:rPr>
          <w:rFonts w:cstheme="minorHAnsi"/>
        </w:rPr>
        <w:t xml:space="preserve">obstacles or opportunities </w:t>
      </w:r>
      <w:r>
        <w:rPr>
          <w:rFonts w:cstheme="minorHAnsi"/>
        </w:rPr>
        <w:t>for</w:t>
      </w:r>
      <w:r w:rsidRPr="006A6CF7">
        <w:rPr>
          <w:rFonts w:cstheme="minorHAnsi"/>
        </w:rPr>
        <w:t xml:space="preserve"> </w:t>
      </w:r>
      <w:r w:rsidRPr="006A6CF7" w:rsidR="00CB65A6">
        <w:rPr>
          <w:rFonts w:cstheme="minorHAnsi"/>
        </w:rPr>
        <w:t xml:space="preserve">implementation including </w:t>
      </w:r>
      <w:r w:rsidR="004E75FA">
        <w:rPr>
          <w:rFonts w:cstheme="minorHAnsi"/>
        </w:rPr>
        <w:t xml:space="preserve">ways to </w:t>
      </w:r>
      <w:r w:rsidR="00F7419E">
        <w:rPr>
          <w:rFonts w:cstheme="minorHAnsi"/>
        </w:rPr>
        <w:t>build synergies and/or overcome trade-offs</w:t>
      </w:r>
      <w:r w:rsidRPr="006A6CF7" w:rsidR="00CB65A6">
        <w:rPr>
          <w:rFonts w:cstheme="minorHAnsi"/>
        </w:rPr>
        <w:t xml:space="preserve"> with other Goals?</w:t>
      </w:r>
    </w:p>
    <w:p w:rsidRPr="006A6CF7" w:rsidR="00903EA6" w:rsidP="00FA1E09" w:rsidRDefault="00903EA6" w14:paraId="11B05BF0" w14:textId="41013245">
      <w:pPr>
        <w:pStyle w:val="ListParagraph"/>
        <w:numPr>
          <w:ilvl w:val="1"/>
          <w:numId w:val="6"/>
        </w:numPr>
        <w:spacing w:after="120" w:line="259" w:lineRule="auto"/>
        <w:contextualSpacing w:val="0"/>
        <w:rPr>
          <w:rFonts w:cstheme="minorHAnsi"/>
        </w:rPr>
      </w:pPr>
      <w:r>
        <w:rPr>
          <w:rFonts w:cstheme="minorHAnsi"/>
        </w:rPr>
        <w:t xml:space="preserve">In the current context, what groups are most at risk of being left behind </w:t>
      </w:r>
      <w:r w:rsidR="000C2485">
        <w:rPr>
          <w:rFonts w:cstheme="minorHAnsi"/>
        </w:rPr>
        <w:t xml:space="preserve">in relation to this Goal </w:t>
      </w:r>
      <w:r>
        <w:rPr>
          <w:rFonts w:cstheme="minorHAnsi"/>
        </w:rPr>
        <w:t xml:space="preserve">and </w:t>
      </w:r>
      <w:r w:rsidR="000C2485">
        <w:rPr>
          <w:rFonts w:cstheme="minorHAnsi"/>
        </w:rPr>
        <w:t xml:space="preserve">what types of </w:t>
      </w:r>
      <w:r>
        <w:rPr>
          <w:rFonts w:cstheme="minorHAnsi"/>
        </w:rPr>
        <w:t>special attention</w:t>
      </w:r>
      <w:r w:rsidR="000C2485">
        <w:rPr>
          <w:rFonts w:cstheme="minorHAnsi"/>
        </w:rPr>
        <w:t xml:space="preserve"> may they require</w:t>
      </w:r>
      <w:r>
        <w:rPr>
          <w:rFonts w:cstheme="minorHAnsi"/>
        </w:rPr>
        <w:t>?</w:t>
      </w:r>
    </w:p>
    <w:p w:rsidR="000C1D25" w:rsidP="00FA1E09" w:rsidRDefault="00CB7B8A" w14:paraId="2657BF65" w14:textId="200C1F54">
      <w:pPr>
        <w:pStyle w:val="ListParagraph"/>
        <w:numPr>
          <w:ilvl w:val="1"/>
          <w:numId w:val="6"/>
        </w:numPr>
        <w:spacing w:after="120" w:line="259" w:lineRule="auto"/>
        <w:contextualSpacing w:val="0"/>
        <w:rPr>
          <w:rFonts w:cstheme="minorHAnsi"/>
        </w:rPr>
      </w:pPr>
      <w:r>
        <w:rPr>
          <w:rFonts w:cstheme="minorHAnsi"/>
        </w:rPr>
        <w:t>Are there new and</w:t>
      </w:r>
      <w:r w:rsidR="002352DA">
        <w:rPr>
          <w:rFonts w:cstheme="minorHAnsi"/>
        </w:rPr>
        <w:t xml:space="preserve"> </w:t>
      </w:r>
      <w:r>
        <w:rPr>
          <w:rFonts w:cstheme="minorHAnsi"/>
        </w:rPr>
        <w:t>innovative</w:t>
      </w:r>
      <w:r w:rsidR="002352DA">
        <w:rPr>
          <w:rFonts w:cstheme="minorHAnsi"/>
        </w:rPr>
        <w:t xml:space="preserve"> solutions </w:t>
      </w:r>
      <w:r>
        <w:rPr>
          <w:rFonts w:cstheme="minorHAnsi"/>
        </w:rPr>
        <w:t>or partnerships? What steps can be taken</w:t>
      </w:r>
      <w:r w:rsidR="002352DA">
        <w:rPr>
          <w:rFonts w:cstheme="minorHAnsi"/>
        </w:rPr>
        <w:t xml:space="preserve"> </w:t>
      </w:r>
      <w:r>
        <w:rPr>
          <w:rFonts w:cstheme="minorHAnsi"/>
        </w:rPr>
        <w:t xml:space="preserve">to scale these up and </w:t>
      </w:r>
      <w:r w:rsidR="00F562D2">
        <w:rPr>
          <w:rFonts w:cstheme="minorHAnsi"/>
        </w:rPr>
        <w:t>make them appropriate in different contexts</w:t>
      </w:r>
      <w:r w:rsidR="002352DA">
        <w:rPr>
          <w:rFonts w:cstheme="minorHAnsi"/>
        </w:rPr>
        <w:t>?</w:t>
      </w:r>
    </w:p>
    <w:p w:rsidR="00F7419E" w:rsidP="00FA1E09" w:rsidRDefault="00F7419E" w14:paraId="153B7A0E" w14:textId="580158DF">
      <w:pPr>
        <w:pStyle w:val="ListParagraph"/>
        <w:numPr>
          <w:ilvl w:val="1"/>
          <w:numId w:val="6"/>
        </w:numPr>
        <w:spacing w:after="120" w:line="259" w:lineRule="auto"/>
        <w:contextualSpacing w:val="0"/>
        <w:rPr>
          <w:rFonts w:cstheme="minorHAnsi"/>
        </w:rPr>
      </w:pPr>
      <w:r>
        <w:rPr>
          <w:rFonts w:cstheme="minorHAnsi"/>
        </w:rPr>
        <w:t xml:space="preserve">What solutions might be emerging from STI and how can </w:t>
      </w:r>
      <w:r w:rsidR="00B4547D">
        <w:rPr>
          <w:rFonts w:cstheme="minorHAnsi"/>
        </w:rPr>
        <w:t>these be better shared and acted on for Goal achievement?</w:t>
      </w:r>
    </w:p>
    <w:p w:rsidRPr="00FA1E09" w:rsidR="00B4547D" w:rsidP="00FA1E09" w:rsidRDefault="005A3C62" w14:paraId="1F8593C8" w14:textId="7AAB19E4">
      <w:pPr>
        <w:pStyle w:val="ListParagraph"/>
        <w:numPr>
          <w:ilvl w:val="1"/>
          <w:numId w:val="6"/>
        </w:numPr>
        <w:spacing w:after="120" w:line="259" w:lineRule="auto"/>
        <w:contextualSpacing w:val="0"/>
        <w:rPr>
          <w:rFonts w:cstheme="minorHAnsi"/>
        </w:rPr>
      </w:pPr>
      <w:r>
        <w:rPr>
          <w:rFonts w:cstheme="minorHAnsi"/>
        </w:rPr>
        <w:t xml:space="preserve">What innovative funding </w:t>
      </w:r>
      <w:r w:rsidR="008605E7">
        <w:rPr>
          <w:rFonts w:cstheme="minorHAnsi"/>
        </w:rPr>
        <w:t xml:space="preserve">mechanisms, including those called for in the Pact and FfD4 process, can be applied with immediate urgency to deliver on the Goal by 2030? </w:t>
      </w:r>
    </w:p>
    <w:p w:rsidRPr="00D43F10" w:rsidR="00AD0C2A" w:rsidP="00FA1E09" w:rsidRDefault="00CB65A6" w14:paraId="479A8383" w14:textId="47AD6837">
      <w:pPr>
        <w:pStyle w:val="ListParagraph"/>
        <w:numPr>
          <w:ilvl w:val="0"/>
          <w:numId w:val="6"/>
        </w:numPr>
        <w:spacing w:after="120" w:line="259" w:lineRule="auto"/>
        <w:contextualSpacing w:val="0"/>
        <w:rPr>
          <w:b/>
          <w:bCs/>
          <w:u w:val="single"/>
        </w:rPr>
      </w:pPr>
      <w:r w:rsidRPr="006A6CF7">
        <w:rPr>
          <w:rFonts w:cstheme="minorHAnsi"/>
        </w:rPr>
        <w:t xml:space="preserve">What are </w:t>
      </w:r>
      <w:r w:rsidR="000F6C87">
        <w:rPr>
          <w:rFonts w:cstheme="minorHAnsi"/>
        </w:rPr>
        <w:t xml:space="preserve">the most </w:t>
      </w:r>
      <w:r w:rsidRPr="006A6CF7">
        <w:rPr>
          <w:rFonts w:cstheme="minorHAnsi"/>
        </w:rPr>
        <w:t xml:space="preserve">promising strategies to mobilize stakeholders </w:t>
      </w:r>
      <w:r w:rsidR="00260DF3">
        <w:rPr>
          <w:rFonts w:cstheme="minorHAnsi"/>
        </w:rPr>
        <w:t xml:space="preserve">including national and local governments, the private sector, civil society, and academia </w:t>
      </w:r>
      <w:r w:rsidRPr="006A6CF7">
        <w:rPr>
          <w:rFonts w:cstheme="minorHAnsi"/>
        </w:rPr>
        <w:t>to advance</w:t>
      </w:r>
      <w:r w:rsidR="00276B35">
        <w:rPr>
          <w:rFonts w:cstheme="minorHAnsi"/>
        </w:rPr>
        <w:t xml:space="preserve"> </w:t>
      </w:r>
      <w:r w:rsidRPr="006A6CF7">
        <w:rPr>
          <w:rFonts w:cstheme="minorHAnsi"/>
        </w:rPr>
        <w:t>implementation</w:t>
      </w:r>
      <w:r w:rsidR="000C2485">
        <w:rPr>
          <w:rFonts w:cstheme="minorHAnsi"/>
        </w:rPr>
        <w:t xml:space="preserve"> of this Goal</w:t>
      </w:r>
      <w:r w:rsidR="00276B35">
        <w:rPr>
          <w:rFonts w:cstheme="minorHAnsi"/>
        </w:rPr>
        <w:t xml:space="preserve"> and support key transformations</w:t>
      </w:r>
      <w:r w:rsidRPr="006A6CF7">
        <w:rPr>
          <w:rFonts w:cstheme="minorHAnsi"/>
        </w:rPr>
        <w:t>?</w:t>
      </w:r>
    </w:p>
    <w:p w:rsidR="00AD0C2A" w:rsidP="00FA1E09" w:rsidRDefault="00AD0C2A" w14:paraId="4EA7297B" w14:textId="77777777">
      <w:pPr>
        <w:spacing w:after="120"/>
        <w:rPr>
          <w:b/>
          <w:bCs/>
          <w:u w:val="single"/>
        </w:rPr>
      </w:pPr>
    </w:p>
    <w:p w:rsidR="008605E7" w:rsidRDefault="008605E7" w14:paraId="64594808" w14:textId="77777777">
      <w:pPr>
        <w:rPr>
          <w:b/>
          <w:bCs/>
          <w:u w:val="single"/>
        </w:rPr>
      </w:pPr>
      <w:r>
        <w:rPr>
          <w:b/>
          <w:bCs/>
          <w:u w:val="single"/>
        </w:rPr>
        <w:br w:type="page"/>
      </w:r>
    </w:p>
    <w:p w:rsidRPr="00173829" w:rsidR="00803D62" w:rsidP="00803D62" w:rsidRDefault="00AD0C2A" w14:paraId="74D3F9A0" w14:textId="3730C098">
      <w:pPr>
        <w:spacing w:after="0" w:line="240" w:lineRule="auto"/>
        <w:jc w:val="center"/>
        <w:rPr>
          <w:b/>
          <w:bCs/>
          <w:u w:val="single"/>
        </w:rPr>
      </w:pPr>
      <w:r w:rsidRPr="00173829">
        <w:rPr>
          <w:b/>
          <w:bCs/>
          <w:u w:val="single"/>
        </w:rPr>
        <w:lastRenderedPageBreak/>
        <w:t xml:space="preserve">Annex </w:t>
      </w:r>
      <w:r>
        <w:rPr>
          <w:b/>
          <w:bCs/>
          <w:u w:val="single"/>
        </w:rPr>
        <w:t>A</w:t>
      </w:r>
      <w:r w:rsidRPr="00173829">
        <w:rPr>
          <w:b/>
          <w:bCs/>
          <w:u w:val="single"/>
        </w:rPr>
        <w:t xml:space="preserve"> – </w:t>
      </w:r>
      <w:r>
        <w:rPr>
          <w:b/>
          <w:bCs/>
          <w:u w:val="single"/>
        </w:rPr>
        <w:t xml:space="preserve">PAST REVIEWS of in-focus SDGs </w:t>
      </w:r>
      <w:r w:rsidR="00803D62">
        <w:rPr>
          <w:b/>
          <w:bCs/>
          <w:u w:val="single"/>
        </w:rPr>
        <w:t>3, 5, 8, 14, 17*</w:t>
      </w:r>
    </w:p>
    <w:p w:rsidR="00AD0C2A" w:rsidP="00FA1E09" w:rsidRDefault="00AD0C2A" w14:paraId="5A9E4BC4" w14:textId="031C75ED">
      <w:pPr>
        <w:spacing w:after="120"/>
        <w:rPr>
          <w:b/>
          <w:bCs/>
          <w:u w:val="single"/>
        </w:rPr>
      </w:pPr>
    </w:p>
    <w:tbl>
      <w:tblPr>
        <w:tblStyle w:val="TableGrid"/>
        <w:tblW w:w="11165" w:type="dxa"/>
        <w:jc w:val="center"/>
        <w:tblLayout w:type="fixed"/>
        <w:tblLook w:val="04A0" w:firstRow="1" w:lastRow="0" w:firstColumn="1" w:lastColumn="0" w:noHBand="0" w:noVBand="1"/>
      </w:tblPr>
      <w:tblGrid>
        <w:gridCol w:w="985"/>
        <w:gridCol w:w="640"/>
        <w:gridCol w:w="1440"/>
        <w:gridCol w:w="1440"/>
        <w:gridCol w:w="1620"/>
        <w:gridCol w:w="2520"/>
        <w:gridCol w:w="2520"/>
      </w:tblGrid>
      <w:tr w:rsidRPr="006A457F" w:rsidR="0068339A" w:rsidTr="00C15167" w14:paraId="4769364B" w14:textId="77777777">
        <w:trPr>
          <w:jc w:val="center"/>
        </w:trPr>
        <w:tc>
          <w:tcPr>
            <w:tcW w:w="985" w:type="dxa"/>
            <w:shd w:val="clear" w:color="auto" w:fill="E7E6E6" w:themeFill="background2"/>
          </w:tcPr>
          <w:p w:rsidRPr="00345D57" w:rsidR="0068339A" w:rsidP="00E92DC0" w:rsidRDefault="0068339A" w14:paraId="3F8DAE50" w14:textId="77777777">
            <w:pPr>
              <w:rPr>
                <w:b/>
                <w:bCs/>
              </w:rPr>
            </w:pPr>
            <w:r w:rsidRPr="00345D57">
              <w:rPr>
                <w:b/>
                <w:bCs/>
              </w:rPr>
              <w:t>SDG</w:t>
            </w:r>
          </w:p>
        </w:tc>
        <w:tc>
          <w:tcPr>
            <w:tcW w:w="640" w:type="dxa"/>
            <w:shd w:val="clear" w:color="auto" w:fill="E7E6E6" w:themeFill="background2"/>
          </w:tcPr>
          <w:p w:rsidRPr="006A457F" w:rsidR="0068339A" w:rsidP="00E92DC0" w:rsidRDefault="0068339A" w14:paraId="3964FAFF" w14:textId="77777777">
            <w:pPr>
              <w:rPr>
                <w:b/>
                <w:bCs/>
              </w:rPr>
            </w:pPr>
            <w:r>
              <w:rPr>
                <w:b/>
                <w:bCs/>
              </w:rPr>
              <w:t>Last year reviewed</w:t>
            </w:r>
          </w:p>
        </w:tc>
        <w:tc>
          <w:tcPr>
            <w:tcW w:w="1440" w:type="dxa"/>
            <w:shd w:val="clear" w:color="auto" w:fill="E7E6E6" w:themeFill="background2"/>
          </w:tcPr>
          <w:p w:rsidRPr="006A457F" w:rsidR="0068339A" w:rsidP="00E92DC0" w:rsidRDefault="0068339A" w14:paraId="71FDCA7F" w14:textId="77777777">
            <w:pPr>
              <w:rPr>
                <w:b/>
                <w:bCs/>
              </w:rPr>
            </w:pPr>
            <w:r w:rsidRPr="006A457F">
              <w:rPr>
                <w:b/>
                <w:bCs/>
              </w:rPr>
              <w:t xml:space="preserve">Partner agency for </w:t>
            </w:r>
            <w:r>
              <w:rPr>
                <w:b/>
                <w:bCs/>
              </w:rPr>
              <w:t xml:space="preserve">thematic review </w:t>
            </w:r>
            <w:r w:rsidRPr="006A457F">
              <w:rPr>
                <w:b/>
                <w:bCs/>
              </w:rPr>
              <w:t>EGM</w:t>
            </w:r>
          </w:p>
        </w:tc>
        <w:tc>
          <w:tcPr>
            <w:tcW w:w="1440" w:type="dxa"/>
            <w:shd w:val="clear" w:color="auto" w:fill="E7E6E6" w:themeFill="background2"/>
          </w:tcPr>
          <w:p w:rsidRPr="006A457F" w:rsidR="0068339A" w:rsidP="00E92DC0" w:rsidRDefault="0068339A" w14:paraId="304E5D61" w14:textId="77777777">
            <w:pPr>
              <w:rPr>
                <w:b/>
                <w:bCs/>
              </w:rPr>
            </w:pPr>
            <w:r w:rsidRPr="006A457F">
              <w:rPr>
                <w:b/>
                <w:bCs/>
              </w:rPr>
              <w:t>Link to EGM summary</w:t>
            </w:r>
            <w:r>
              <w:rPr>
                <w:b/>
                <w:bCs/>
              </w:rPr>
              <w:t xml:space="preserve"> or concept note</w:t>
            </w:r>
          </w:p>
        </w:tc>
        <w:tc>
          <w:tcPr>
            <w:tcW w:w="1620" w:type="dxa"/>
            <w:shd w:val="clear" w:color="auto" w:fill="E7E6E6" w:themeFill="background2"/>
          </w:tcPr>
          <w:p w:rsidRPr="006A457F" w:rsidR="0068339A" w:rsidP="00E92DC0" w:rsidRDefault="0068339A" w14:paraId="496113CD" w14:textId="77777777">
            <w:pPr>
              <w:rPr>
                <w:b/>
                <w:bCs/>
              </w:rPr>
            </w:pPr>
            <w:r w:rsidRPr="006A457F">
              <w:rPr>
                <w:b/>
                <w:bCs/>
              </w:rPr>
              <w:t xml:space="preserve">Link to </w:t>
            </w:r>
            <w:r>
              <w:rPr>
                <w:b/>
                <w:bCs/>
              </w:rPr>
              <w:t xml:space="preserve">HLPF </w:t>
            </w:r>
            <w:r w:rsidRPr="006A457F">
              <w:rPr>
                <w:b/>
                <w:bCs/>
              </w:rPr>
              <w:t>thematic review background paper</w:t>
            </w:r>
          </w:p>
        </w:tc>
        <w:tc>
          <w:tcPr>
            <w:tcW w:w="2520" w:type="dxa"/>
            <w:shd w:val="clear" w:color="auto" w:fill="E7E6E6" w:themeFill="background2"/>
          </w:tcPr>
          <w:p w:rsidRPr="006A457F" w:rsidR="0068339A" w:rsidP="00E92DC0" w:rsidRDefault="0068339A" w14:paraId="2C4176D7" w14:textId="77777777">
            <w:pPr>
              <w:rPr>
                <w:b/>
                <w:bCs/>
              </w:rPr>
            </w:pPr>
            <w:r>
              <w:rPr>
                <w:b/>
                <w:bCs/>
              </w:rPr>
              <w:t>Last in-person EGM</w:t>
            </w:r>
          </w:p>
        </w:tc>
        <w:tc>
          <w:tcPr>
            <w:tcW w:w="2520" w:type="dxa"/>
            <w:shd w:val="clear" w:color="auto" w:fill="E7E6E6" w:themeFill="background2"/>
          </w:tcPr>
          <w:p w:rsidR="0068339A" w:rsidP="00E92DC0" w:rsidRDefault="0068339A" w14:paraId="6678E800" w14:textId="77777777">
            <w:pPr>
              <w:rPr>
                <w:b/>
                <w:bCs/>
              </w:rPr>
            </w:pPr>
            <w:r>
              <w:rPr>
                <w:b/>
                <w:bCs/>
              </w:rPr>
              <w:t>Indicator custodian agencies</w:t>
            </w:r>
          </w:p>
        </w:tc>
      </w:tr>
      <w:tr w:rsidRPr="00BC2C84" w:rsidR="0068339A" w:rsidTr="00C15167" w14:paraId="7AF17203" w14:textId="77777777">
        <w:trPr>
          <w:jc w:val="center"/>
        </w:trPr>
        <w:tc>
          <w:tcPr>
            <w:tcW w:w="985" w:type="dxa"/>
            <w:shd w:val="clear" w:color="auto" w:fill="E7E6E6" w:themeFill="background2"/>
          </w:tcPr>
          <w:p w:rsidRPr="004069CE" w:rsidR="0068339A" w:rsidP="00E92DC0" w:rsidRDefault="0068339A" w14:paraId="2A54C379" w14:textId="77777777">
            <w:pPr>
              <w:rPr>
                <w:b/>
                <w:bCs/>
              </w:rPr>
            </w:pPr>
            <w:r>
              <w:rPr>
                <w:b/>
                <w:bCs/>
                <w:sz w:val="20"/>
                <w:szCs w:val="20"/>
              </w:rPr>
              <w:t>3</w:t>
            </w:r>
            <w:r w:rsidRPr="006B555D">
              <w:rPr>
                <w:b/>
                <w:bCs/>
                <w:sz w:val="20"/>
                <w:szCs w:val="20"/>
              </w:rPr>
              <w:t xml:space="preserve"> – </w:t>
            </w:r>
            <w:r>
              <w:rPr>
                <w:b/>
                <w:bCs/>
                <w:sz w:val="20"/>
                <w:szCs w:val="20"/>
              </w:rPr>
              <w:t>Good health and well-being</w:t>
            </w:r>
          </w:p>
        </w:tc>
        <w:tc>
          <w:tcPr>
            <w:tcW w:w="640" w:type="dxa"/>
          </w:tcPr>
          <w:p w:rsidRPr="00665A6E" w:rsidR="0068339A" w:rsidP="00E92DC0" w:rsidRDefault="0068339A" w14:paraId="10DBC5D6" w14:textId="77777777">
            <w:pPr>
              <w:rPr>
                <w:sz w:val="20"/>
                <w:szCs w:val="20"/>
              </w:rPr>
            </w:pPr>
            <w:r w:rsidRPr="00665A6E">
              <w:rPr>
                <w:sz w:val="20"/>
                <w:szCs w:val="20"/>
              </w:rPr>
              <w:t>2021 (Virtual)</w:t>
            </w:r>
          </w:p>
        </w:tc>
        <w:tc>
          <w:tcPr>
            <w:tcW w:w="1440" w:type="dxa"/>
          </w:tcPr>
          <w:p w:rsidRPr="00665A6E" w:rsidR="0068339A" w:rsidP="00E92DC0" w:rsidRDefault="0068339A" w14:paraId="5A416427" w14:textId="77777777">
            <w:pPr>
              <w:rPr>
                <w:sz w:val="20"/>
                <w:szCs w:val="20"/>
              </w:rPr>
            </w:pPr>
            <w:r w:rsidRPr="00665A6E">
              <w:rPr>
                <w:sz w:val="20"/>
                <w:szCs w:val="20"/>
              </w:rPr>
              <w:t>DESA, WHO, UNFPA</w:t>
            </w:r>
          </w:p>
        </w:tc>
        <w:tc>
          <w:tcPr>
            <w:tcW w:w="1440" w:type="dxa"/>
          </w:tcPr>
          <w:p w:rsidRPr="00665A6E" w:rsidR="0068339A" w:rsidP="00E92DC0" w:rsidRDefault="00DA1463" w14:paraId="19AC1BF7" w14:textId="77777777">
            <w:pPr>
              <w:rPr>
                <w:sz w:val="20"/>
                <w:szCs w:val="20"/>
              </w:rPr>
            </w:pPr>
            <w:hyperlink w:history="1" r:id="rId11">
              <w:r w:rsidRPr="00665A6E" w:rsidR="0068339A">
                <w:rPr>
                  <w:rStyle w:val="Hyperlink"/>
                  <w:sz w:val="20"/>
                  <w:szCs w:val="20"/>
                </w:rPr>
                <w:t>https://sdgs.un.org/sites/default/files/2021-07/HLPF%20SDG%203%20EGM%20Summary.%20June%202021-2.pdf</w:t>
              </w:r>
            </w:hyperlink>
          </w:p>
          <w:p w:rsidRPr="00665A6E" w:rsidR="0068339A" w:rsidP="00E92DC0" w:rsidRDefault="0068339A" w14:paraId="7AB98681" w14:textId="77777777">
            <w:pPr>
              <w:rPr>
                <w:sz w:val="20"/>
                <w:szCs w:val="20"/>
              </w:rPr>
            </w:pPr>
          </w:p>
        </w:tc>
        <w:tc>
          <w:tcPr>
            <w:tcW w:w="1620" w:type="dxa"/>
          </w:tcPr>
          <w:p w:rsidRPr="00665A6E" w:rsidR="0068339A" w:rsidP="00E92DC0" w:rsidRDefault="00DA1463" w14:paraId="3A69F069" w14:textId="77777777">
            <w:pPr>
              <w:rPr>
                <w:sz w:val="20"/>
                <w:szCs w:val="20"/>
              </w:rPr>
            </w:pPr>
            <w:hyperlink w:history="1" r:id="rId12">
              <w:r w:rsidRPr="00665A6E" w:rsidR="0068339A">
                <w:rPr>
                  <w:rStyle w:val="Hyperlink"/>
                  <w:sz w:val="20"/>
                  <w:szCs w:val="20"/>
                </w:rPr>
                <w:t>https://hlpf.un.org/sites/default/files/migrated/documents/27965BN_HLPF_2021__3_10_16_17.pdf</w:t>
              </w:r>
            </w:hyperlink>
          </w:p>
          <w:p w:rsidRPr="00665A6E" w:rsidR="0068339A" w:rsidP="00E92DC0" w:rsidRDefault="0068339A" w14:paraId="0D38B534" w14:textId="77777777">
            <w:pPr>
              <w:rPr>
                <w:sz w:val="20"/>
                <w:szCs w:val="20"/>
              </w:rPr>
            </w:pPr>
          </w:p>
        </w:tc>
        <w:tc>
          <w:tcPr>
            <w:tcW w:w="2520" w:type="dxa"/>
          </w:tcPr>
          <w:p w:rsidRPr="00C21CF9" w:rsidR="0068339A" w:rsidP="00E92DC0" w:rsidRDefault="0068339A" w14:paraId="538C4330" w14:textId="77777777">
            <w:pPr>
              <w:rPr>
                <w:sz w:val="20"/>
                <w:szCs w:val="20"/>
              </w:rPr>
            </w:pPr>
            <w:r w:rsidRPr="00C21CF9">
              <w:rPr>
                <w:sz w:val="20"/>
                <w:szCs w:val="20"/>
              </w:rPr>
              <w:t xml:space="preserve">There has not been an in-person EGM on SDG 3, In </w:t>
            </w:r>
            <w:r w:rsidRPr="00FB6202">
              <w:rPr>
                <w:b/>
                <w:bCs/>
                <w:sz w:val="20"/>
                <w:szCs w:val="20"/>
                <w:u w:val="single"/>
              </w:rPr>
              <w:t>2017</w:t>
            </w:r>
            <w:r w:rsidRPr="00C21CF9">
              <w:rPr>
                <w:sz w:val="20"/>
                <w:szCs w:val="20"/>
              </w:rPr>
              <w:t xml:space="preserve"> there was a joint paper led by WHO and UNFPA.</w:t>
            </w:r>
          </w:p>
          <w:p w:rsidRPr="00C21CF9" w:rsidR="0068339A" w:rsidP="00E92DC0" w:rsidRDefault="0068339A" w14:paraId="46FA6439" w14:textId="77777777">
            <w:pPr>
              <w:rPr>
                <w:sz w:val="20"/>
                <w:szCs w:val="20"/>
              </w:rPr>
            </w:pPr>
          </w:p>
          <w:p w:rsidRPr="00C21CF9" w:rsidR="0068339A" w:rsidP="00E92DC0" w:rsidRDefault="00DA1463" w14:paraId="0EE3CC1B" w14:textId="77777777">
            <w:pPr>
              <w:rPr>
                <w:sz w:val="20"/>
                <w:szCs w:val="20"/>
              </w:rPr>
            </w:pPr>
            <w:hyperlink w:history="1" r:id="rId13">
              <w:r w:rsidRPr="00C21CF9" w:rsidR="0068339A">
                <w:rPr>
                  <w:rStyle w:val="Hyperlink"/>
                  <w:sz w:val="20"/>
                  <w:szCs w:val="20"/>
                </w:rPr>
                <w:t>https://hlpf.un.org/sites/default/files/migrated/documents/14367SDG3format-rev_MD_OD.pdf</w:t>
              </w:r>
            </w:hyperlink>
          </w:p>
          <w:p w:rsidRPr="00C21CF9" w:rsidR="0068339A" w:rsidP="00E92DC0" w:rsidRDefault="0068339A" w14:paraId="5419E2C7" w14:textId="77777777">
            <w:pPr>
              <w:rPr>
                <w:sz w:val="20"/>
                <w:szCs w:val="20"/>
              </w:rPr>
            </w:pPr>
          </w:p>
          <w:p w:rsidRPr="00C21CF9" w:rsidR="0068339A" w:rsidP="00E92DC0" w:rsidRDefault="0068339A" w14:paraId="001DC443" w14:textId="77777777">
            <w:pPr>
              <w:rPr>
                <w:sz w:val="20"/>
                <w:szCs w:val="20"/>
              </w:rPr>
            </w:pPr>
          </w:p>
        </w:tc>
        <w:tc>
          <w:tcPr>
            <w:tcW w:w="2520" w:type="dxa"/>
          </w:tcPr>
          <w:p w:rsidRPr="00276A4F" w:rsidR="0068339A" w:rsidP="00E92DC0" w:rsidRDefault="0068339A" w14:paraId="10FEFB42" w14:textId="77777777">
            <w:pPr>
              <w:rPr>
                <w:sz w:val="20"/>
                <w:szCs w:val="20"/>
                <w:u w:val="single"/>
              </w:rPr>
            </w:pPr>
            <w:r w:rsidRPr="00276A4F">
              <w:rPr>
                <w:sz w:val="20"/>
                <w:szCs w:val="20"/>
                <w:u w:val="single"/>
              </w:rPr>
              <w:t>Most indicators</w:t>
            </w:r>
          </w:p>
          <w:p w:rsidR="0068339A" w:rsidP="00E92DC0" w:rsidRDefault="0068339A" w14:paraId="20F9E04E" w14:textId="77777777">
            <w:pPr>
              <w:rPr>
                <w:sz w:val="20"/>
                <w:szCs w:val="20"/>
              </w:rPr>
            </w:pPr>
            <w:r>
              <w:rPr>
                <w:sz w:val="20"/>
                <w:szCs w:val="20"/>
              </w:rPr>
              <w:t>WHO, UNICEF</w:t>
            </w:r>
          </w:p>
          <w:p w:rsidR="0068339A" w:rsidP="00E92DC0" w:rsidRDefault="0068339A" w14:paraId="2D1EE390" w14:textId="77777777">
            <w:pPr>
              <w:rPr>
                <w:sz w:val="20"/>
                <w:szCs w:val="20"/>
              </w:rPr>
            </w:pPr>
          </w:p>
          <w:p w:rsidRPr="00276A4F" w:rsidR="0068339A" w:rsidP="00E92DC0" w:rsidRDefault="0068339A" w14:paraId="150CE574" w14:textId="77777777">
            <w:pPr>
              <w:rPr>
                <w:sz w:val="20"/>
                <w:szCs w:val="20"/>
                <w:u w:val="single"/>
              </w:rPr>
            </w:pPr>
            <w:r w:rsidRPr="00276A4F">
              <w:rPr>
                <w:sz w:val="20"/>
                <w:szCs w:val="20"/>
                <w:u w:val="single"/>
              </w:rPr>
              <w:t>2 or fewer indicators</w:t>
            </w:r>
          </w:p>
          <w:p w:rsidRPr="00BC2C84" w:rsidR="0068339A" w:rsidP="00E92DC0" w:rsidRDefault="0068339A" w14:paraId="2ACB5A53" w14:textId="77777777">
            <w:pPr>
              <w:rPr>
                <w:sz w:val="20"/>
                <w:szCs w:val="20"/>
                <w:lang w:val="es-ES"/>
              </w:rPr>
            </w:pPr>
            <w:r w:rsidRPr="00BC2C84">
              <w:rPr>
                <w:sz w:val="20"/>
                <w:szCs w:val="20"/>
                <w:lang w:val="es-ES"/>
              </w:rPr>
              <w:t xml:space="preserve">UN </w:t>
            </w:r>
            <w:proofErr w:type="spellStart"/>
            <w:r w:rsidRPr="00BC2C84">
              <w:rPr>
                <w:sz w:val="20"/>
                <w:szCs w:val="20"/>
                <w:lang w:val="es-ES"/>
              </w:rPr>
              <w:t>Aids</w:t>
            </w:r>
            <w:proofErr w:type="spellEnd"/>
            <w:r w:rsidRPr="00BC2C84">
              <w:rPr>
                <w:sz w:val="20"/>
                <w:szCs w:val="20"/>
                <w:lang w:val="es-ES"/>
              </w:rPr>
              <w:t>, OECD, DESA, U</w:t>
            </w:r>
            <w:r>
              <w:rPr>
                <w:sz w:val="20"/>
                <w:szCs w:val="20"/>
                <w:lang w:val="es-ES"/>
              </w:rPr>
              <w:t>NODC</w:t>
            </w:r>
          </w:p>
          <w:p w:rsidRPr="00BC2C84" w:rsidR="0068339A" w:rsidP="00E92DC0" w:rsidRDefault="0068339A" w14:paraId="5654EB0E" w14:textId="77777777">
            <w:pPr>
              <w:rPr>
                <w:sz w:val="20"/>
                <w:szCs w:val="20"/>
                <w:lang w:val="es-ES"/>
              </w:rPr>
            </w:pPr>
          </w:p>
          <w:p w:rsidRPr="00BC2C84" w:rsidR="0068339A" w:rsidP="00E92DC0" w:rsidRDefault="0068339A" w14:paraId="12CA6E2D" w14:textId="77777777">
            <w:pPr>
              <w:rPr>
                <w:sz w:val="20"/>
                <w:szCs w:val="20"/>
                <w:lang w:val="es-ES"/>
              </w:rPr>
            </w:pPr>
          </w:p>
        </w:tc>
      </w:tr>
      <w:tr w:rsidRPr="004069CE" w:rsidR="0068339A" w:rsidTr="00C15167" w14:paraId="2266E434" w14:textId="77777777">
        <w:trPr>
          <w:jc w:val="center"/>
        </w:trPr>
        <w:tc>
          <w:tcPr>
            <w:tcW w:w="985" w:type="dxa"/>
            <w:shd w:val="clear" w:color="auto" w:fill="E7E6E6" w:themeFill="background2"/>
          </w:tcPr>
          <w:p w:rsidRPr="006B555D" w:rsidR="0068339A" w:rsidP="00E92DC0" w:rsidRDefault="0068339A" w14:paraId="1BAFC9BD" w14:textId="77777777">
            <w:pPr>
              <w:rPr>
                <w:b/>
                <w:bCs/>
                <w:sz w:val="20"/>
                <w:szCs w:val="20"/>
              </w:rPr>
            </w:pPr>
            <w:r>
              <w:rPr>
                <w:b/>
                <w:bCs/>
                <w:sz w:val="20"/>
                <w:szCs w:val="20"/>
              </w:rPr>
              <w:t>5 – Gender equality</w:t>
            </w:r>
          </w:p>
        </w:tc>
        <w:tc>
          <w:tcPr>
            <w:tcW w:w="640" w:type="dxa"/>
          </w:tcPr>
          <w:p w:rsidRPr="00665A6E" w:rsidR="0068339A" w:rsidP="00E92DC0" w:rsidRDefault="0068339A" w14:paraId="41DB19D2" w14:textId="77777777">
            <w:pPr>
              <w:rPr>
                <w:sz w:val="20"/>
                <w:szCs w:val="20"/>
              </w:rPr>
            </w:pPr>
            <w:r w:rsidRPr="00665A6E">
              <w:rPr>
                <w:sz w:val="20"/>
                <w:szCs w:val="20"/>
              </w:rPr>
              <w:t>2022 (Virtual)</w:t>
            </w:r>
          </w:p>
        </w:tc>
        <w:tc>
          <w:tcPr>
            <w:tcW w:w="1440" w:type="dxa"/>
          </w:tcPr>
          <w:p w:rsidRPr="00665A6E" w:rsidR="0068339A" w:rsidP="00E92DC0" w:rsidRDefault="0068339A" w14:paraId="0D7A760B" w14:textId="77777777">
            <w:pPr>
              <w:rPr>
                <w:sz w:val="20"/>
                <w:szCs w:val="20"/>
              </w:rPr>
            </w:pPr>
            <w:r w:rsidRPr="00665A6E">
              <w:rPr>
                <w:sz w:val="20"/>
                <w:szCs w:val="20"/>
              </w:rPr>
              <w:t>DESA, UN-Women. UNFPA</w:t>
            </w:r>
          </w:p>
        </w:tc>
        <w:tc>
          <w:tcPr>
            <w:tcW w:w="1440" w:type="dxa"/>
          </w:tcPr>
          <w:p w:rsidRPr="00665A6E" w:rsidR="0068339A" w:rsidP="00E92DC0" w:rsidRDefault="00DA1463" w14:paraId="2E0F34ED" w14:textId="77777777">
            <w:pPr>
              <w:rPr>
                <w:sz w:val="20"/>
                <w:szCs w:val="20"/>
              </w:rPr>
            </w:pPr>
            <w:hyperlink w:history="1" r:id="rId14">
              <w:r w:rsidRPr="00665A6E" w:rsidR="0068339A">
                <w:rPr>
                  <w:rStyle w:val="Hyperlink"/>
                  <w:sz w:val="20"/>
                  <w:szCs w:val="20"/>
                </w:rPr>
                <w:t>https://sdgs.un.org/sites/default/files/2022-05/HLPF%20EGM%20SDG%205%20Summary%2018.5.22.pdf</w:t>
              </w:r>
            </w:hyperlink>
          </w:p>
          <w:p w:rsidRPr="00665A6E" w:rsidR="0068339A" w:rsidP="00E92DC0" w:rsidRDefault="0068339A" w14:paraId="186E3307" w14:textId="77777777">
            <w:pPr>
              <w:rPr>
                <w:sz w:val="20"/>
                <w:szCs w:val="20"/>
              </w:rPr>
            </w:pPr>
          </w:p>
        </w:tc>
        <w:tc>
          <w:tcPr>
            <w:tcW w:w="1620" w:type="dxa"/>
          </w:tcPr>
          <w:p w:rsidRPr="00665A6E" w:rsidR="0068339A" w:rsidP="00E92DC0" w:rsidRDefault="00DA1463" w14:paraId="56A85F98" w14:textId="77777777">
            <w:pPr>
              <w:rPr>
                <w:sz w:val="20"/>
                <w:szCs w:val="20"/>
              </w:rPr>
            </w:pPr>
            <w:hyperlink w:history="1" r:id="rId15">
              <w:r w:rsidRPr="00665A6E" w:rsidR="0068339A">
                <w:rPr>
                  <w:rStyle w:val="Hyperlink"/>
                  <w:sz w:val="20"/>
                  <w:szCs w:val="20"/>
                </w:rPr>
                <w:t>https://hlpf.un.org/sites/default/files/2022-06/HLPF%202022%20BN%20SDG%205.pdf</w:t>
              </w:r>
            </w:hyperlink>
          </w:p>
          <w:p w:rsidRPr="00665A6E" w:rsidR="0068339A" w:rsidP="00E92DC0" w:rsidRDefault="0068339A" w14:paraId="14683213" w14:textId="77777777">
            <w:pPr>
              <w:rPr>
                <w:sz w:val="20"/>
                <w:szCs w:val="20"/>
              </w:rPr>
            </w:pPr>
          </w:p>
        </w:tc>
        <w:tc>
          <w:tcPr>
            <w:tcW w:w="2520" w:type="dxa"/>
          </w:tcPr>
          <w:p w:rsidRPr="00C21CF9" w:rsidR="0068339A" w:rsidP="00E92DC0" w:rsidRDefault="0068339A" w14:paraId="7C55ACEF" w14:textId="77777777">
            <w:pPr>
              <w:rPr>
                <w:sz w:val="20"/>
                <w:szCs w:val="20"/>
              </w:rPr>
            </w:pPr>
            <w:r w:rsidRPr="00C21CF9">
              <w:rPr>
                <w:sz w:val="20"/>
                <w:szCs w:val="20"/>
              </w:rPr>
              <w:t xml:space="preserve">There has not been an in-person EGM on SDG 5, In </w:t>
            </w:r>
            <w:r w:rsidRPr="00FB6202">
              <w:rPr>
                <w:b/>
                <w:bCs/>
                <w:sz w:val="20"/>
                <w:szCs w:val="20"/>
                <w:u w:val="single"/>
              </w:rPr>
              <w:t>2017</w:t>
            </w:r>
            <w:r w:rsidRPr="00C21CF9">
              <w:rPr>
                <w:sz w:val="20"/>
                <w:szCs w:val="20"/>
              </w:rPr>
              <w:t xml:space="preserve"> there was a joint paper led by UN-Women, UNFPA and UNESCO.</w:t>
            </w:r>
          </w:p>
          <w:p w:rsidRPr="00C21CF9" w:rsidR="0068339A" w:rsidP="00E92DC0" w:rsidRDefault="0068339A" w14:paraId="7DD84934" w14:textId="77777777">
            <w:pPr>
              <w:rPr>
                <w:sz w:val="20"/>
                <w:szCs w:val="20"/>
              </w:rPr>
            </w:pPr>
          </w:p>
          <w:p w:rsidRPr="00C21CF9" w:rsidR="0068339A" w:rsidP="00E92DC0" w:rsidRDefault="00DA1463" w14:paraId="6D7D3DCF" w14:textId="77777777">
            <w:pPr>
              <w:rPr>
                <w:sz w:val="20"/>
                <w:szCs w:val="20"/>
              </w:rPr>
            </w:pPr>
            <w:hyperlink w:history="1" r:id="rId16">
              <w:r w:rsidRPr="00C21CF9" w:rsidR="0068339A">
                <w:rPr>
                  <w:rStyle w:val="Hyperlink"/>
                  <w:sz w:val="20"/>
                  <w:szCs w:val="20"/>
                </w:rPr>
                <w:t>https://hlpf.un.org/sites/default/files/migrated/documents/14383SDG5format-revOD.pdf</w:t>
              </w:r>
            </w:hyperlink>
          </w:p>
          <w:p w:rsidRPr="00C21CF9" w:rsidR="0068339A" w:rsidP="00E92DC0" w:rsidRDefault="0068339A" w14:paraId="78B91A05" w14:textId="77777777">
            <w:pPr>
              <w:rPr>
                <w:sz w:val="20"/>
                <w:szCs w:val="20"/>
              </w:rPr>
            </w:pPr>
          </w:p>
        </w:tc>
        <w:tc>
          <w:tcPr>
            <w:tcW w:w="2520" w:type="dxa"/>
          </w:tcPr>
          <w:p w:rsidRPr="00276A4F" w:rsidR="0068339A" w:rsidP="00E92DC0" w:rsidRDefault="0068339A" w14:paraId="70281A57" w14:textId="77777777">
            <w:pPr>
              <w:rPr>
                <w:sz w:val="20"/>
                <w:szCs w:val="20"/>
                <w:u w:val="single"/>
              </w:rPr>
            </w:pPr>
            <w:r w:rsidRPr="00276A4F">
              <w:rPr>
                <w:sz w:val="20"/>
                <w:szCs w:val="20"/>
                <w:u w:val="single"/>
              </w:rPr>
              <w:t>Most indicators</w:t>
            </w:r>
          </w:p>
          <w:p w:rsidR="0068339A" w:rsidP="00E92DC0" w:rsidRDefault="0068339A" w14:paraId="4D87646E" w14:textId="77777777">
            <w:pPr>
              <w:rPr>
                <w:sz w:val="20"/>
                <w:szCs w:val="20"/>
              </w:rPr>
            </w:pPr>
            <w:r>
              <w:rPr>
                <w:sz w:val="20"/>
                <w:szCs w:val="20"/>
              </w:rPr>
              <w:t>UN-Women, UNFPA</w:t>
            </w:r>
          </w:p>
          <w:p w:rsidR="0068339A" w:rsidP="00E92DC0" w:rsidRDefault="0068339A" w14:paraId="5E24AE4B" w14:textId="77777777">
            <w:pPr>
              <w:rPr>
                <w:sz w:val="20"/>
                <w:szCs w:val="20"/>
              </w:rPr>
            </w:pPr>
          </w:p>
          <w:p w:rsidRPr="00276A4F" w:rsidR="0068339A" w:rsidP="00E92DC0" w:rsidRDefault="0068339A" w14:paraId="403F6763" w14:textId="77777777">
            <w:pPr>
              <w:rPr>
                <w:sz w:val="20"/>
                <w:szCs w:val="20"/>
                <w:u w:val="single"/>
              </w:rPr>
            </w:pPr>
            <w:r w:rsidRPr="00276A4F">
              <w:rPr>
                <w:sz w:val="20"/>
                <w:szCs w:val="20"/>
                <w:u w:val="single"/>
              </w:rPr>
              <w:t>2 or fewer indicators</w:t>
            </w:r>
          </w:p>
          <w:p w:rsidRPr="00BC2C84" w:rsidR="0068339A" w:rsidP="00E92DC0" w:rsidRDefault="0068339A" w14:paraId="5B6E0945" w14:textId="77777777">
            <w:pPr>
              <w:rPr>
                <w:sz w:val="20"/>
                <w:szCs w:val="20"/>
                <w:lang w:val="es-ES"/>
              </w:rPr>
            </w:pPr>
            <w:r>
              <w:rPr>
                <w:sz w:val="20"/>
                <w:szCs w:val="20"/>
                <w:lang w:val="es-ES"/>
              </w:rPr>
              <w:t>UNICEF, IPU, FAO, ITU</w:t>
            </w:r>
          </w:p>
          <w:p w:rsidRPr="00665A6E" w:rsidR="0068339A" w:rsidP="00E92DC0" w:rsidRDefault="0068339A" w14:paraId="276680C6" w14:textId="77777777">
            <w:pPr>
              <w:rPr>
                <w:sz w:val="20"/>
                <w:szCs w:val="20"/>
              </w:rPr>
            </w:pPr>
          </w:p>
        </w:tc>
      </w:tr>
      <w:tr w:rsidRPr="008761EF" w:rsidR="0068339A" w:rsidTr="00C15167" w14:paraId="430131CC" w14:textId="77777777">
        <w:trPr>
          <w:jc w:val="center"/>
        </w:trPr>
        <w:tc>
          <w:tcPr>
            <w:tcW w:w="985" w:type="dxa"/>
            <w:shd w:val="clear" w:color="auto" w:fill="E7E6E6" w:themeFill="background2"/>
          </w:tcPr>
          <w:p w:rsidRPr="006B555D" w:rsidR="0068339A" w:rsidP="00E92DC0" w:rsidRDefault="0068339A" w14:paraId="604D622D" w14:textId="77777777">
            <w:pPr>
              <w:rPr>
                <w:b/>
                <w:bCs/>
                <w:sz w:val="20"/>
                <w:szCs w:val="20"/>
              </w:rPr>
            </w:pPr>
            <w:r>
              <w:rPr>
                <w:b/>
                <w:bCs/>
                <w:sz w:val="20"/>
                <w:szCs w:val="20"/>
              </w:rPr>
              <w:t>8 – Decent work and economic growth</w:t>
            </w:r>
          </w:p>
        </w:tc>
        <w:tc>
          <w:tcPr>
            <w:tcW w:w="640" w:type="dxa"/>
          </w:tcPr>
          <w:p w:rsidRPr="00665A6E" w:rsidR="0068339A" w:rsidP="00E92DC0" w:rsidRDefault="0068339A" w14:paraId="13BC3689" w14:textId="77777777">
            <w:pPr>
              <w:rPr>
                <w:sz w:val="20"/>
                <w:szCs w:val="20"/>
              </w:rPr>
            </w:pPr>
            <w:r w:rsidRPr="00665A6E">
              <w:rPr>
                <w:sz w:val="20"/>
                <w:szCs w:val="20"/>
              </w:rPr>
              <w:t>2021 (Virtual)</w:t>
            </w:r>
          </w:p>
        </w:tc>
        <w:tc>
          <w:tcPr>
            <w:tcW w:w="1440" w:type="dxa"/>
          </w:tcPr>
          <w:p w:rsidRPr="00665A6E" w:rsidR="0068339A" w:rsidP="00E92DC0" w:rsidRDefault="0068339A" w14:paraId="3684E59C" w14:textId="77777777">
            <w:pPr>
              <w:rPr>
                <w:sz w:val="20"/>
                <w:szCs w:val="20"/>
              </w:rPr>
            </w:pPr>
            <w:r w:rsidRPr="00665A6E">
              <w:rPr>
                <w:sz w:val="20"/>
                <w:szCs w:val="20"/>
              </w:rPr>
              <w:t>DESA, ILO</w:t>
            </w:r>
          </w:p>
        </w:tc>
        <w:tc>
          <w:tcPr>
            <w:tcW w:w="1440" w:type="dxa"/>
          </w:tcPr>
          <w:p w:rsidRPr="00665A6E" w:rsidR="0068339A" w:rsidP="00E92DC0" w:rsidRDefault="00DA1463" w14:paraId="23696239" w14:textId="77777777">
            <w:pPr>
              <w:rPr>
                <w:sz w:val="20"/>
                <w:szCs w:val="20"/>
              </w:rPr>
            </w:pPr>
            <w:hyperlink w:history="1" r:id="rId17">
              <w:r w:rsidRPr="00665A6E" w:rsidR="0068339A">
                <w:rPr>
                  <w:rStyle w:val="Hyperlink"/>
                  <w:sz w:val="20"/>
                  <w:szCs w:val="20"/>
                </w:rPr>
                <w:t>https://sdgs.un.org/sites/default/files/2021-08/2021%20HLPF-EGM-Report-SDG2-focused%20Breakout%20session%20%281%29.pdf</w:t>
              </w:r>
            </w:hyperlink>
          </w:p>
          <w:p w:rsidRPr="00665A6E" w:rsidR="0068339A" w:rsidP="00E92DC0" w:rsidRDefault="0068339A" w14:paraId="1CE9E24D" w14:textId="77777777">
            <w:pPr>
              <w:ind w:firstLine="720"/>
              <w:rPr>
                <w:sz w:val="20"/>
                <w:szCs w:val="20"/>
              </w:rPr>
            </w:pPr>
          </w:p>
        </w:tc>
        <w:tc>
          <w:tcPr>
            <w:tcW w:w="1620" w:type="dxa"/>
          </w:tcPr>
          <w:p w:rsidRPr="00665A6E" w:rsidR="0068339A" w:rsidP="00E92DC0" w:rsidRDefault="00DA1463" w14:paraId="539B6349" w14:textId="77777777">
            <w:pPr>
              <w:rPr>
                <w:sz w:val="20"/>
                <w:szCs w:val="20"/>
              </w:rPr>
            </w:pPr>
            <w:hyperlink w:history="1" r:id="rId18">
              <w:r w:rsidRPr="00665A6E" w:rsidR="0068339A">
                <w:rPr>
                  <w:rStyle w:val="Hyperlink"/>
                  <w:sz w:val="20"/>
                  <w:szCs w:val="20"/>
                </w:rPr>
                <w:t>https://hlpf.un.org/sites/default/files/migrated/documents/27874BN_HLPF_2021_SDG_1_2_8_17.pdf</w:t>
              </w:r>
            </w:hyperlink>
          </w:p>
          <w:p w:rsidRPr="00665A6E" w:rsidR="0068339A" w:rsidP="00E92DC0" w:rsidRDefault="0068339A" w14:paraId="0B3CD405" w14:textId="77777777">
            <w:pPr>
              <w:rPr>
                <w:sz w:val="20"/>
                <w:szCs w:val="20"/>
              </w:rPr>
            </w:pPr>
          </w:p>
        </w:tc>
        <w:tc>
          <w:tcPr>
            <w:tcW w:w="2520" w:type="dxa"/>
          </w:tcPr>
          <w:p w:rsidRPr="00C21CF9" w:rsidR="0068339A" w:rsidP="00E92DC0" w:rsidRDefault="0068339A" w14:paraId="379E77E4" w14:textId="77777777">
            <w:pPr>
              <w:rPr>
                <w:sz w:val="20"/>
                <w:szCs w:val="20"/>
              </w:rPr>
            </w:pPr>
            <w:r w:rsidRPr="00FB6202">
              <w:rPr>
                <w:b/>
                <w:bCs/>
                <w:sz w:val="20"/>
                <w:szCs w:val="20"/>
                <w:u w:val="single"/>
              </w:rPr>
              <w:t>2019</w:t>
            </w:r>
            <w:r w:rsidRPr="00C21CF9">
              <w:rPr>
                <w:sz w:val="20"/>
                <w:szCs w:val="20"/>
              </w:rPr>
              <w:t>, Geneva, in partnership with ILO</w:t>
            </w:r>
          </w:p>
          <w:p w:rsidRPr="00C21CF9" w:rsidR="0068339A" w:rsidP="00E92DC0" w:rsidRDefault="0068339A" w14:paraId="556A48E2" w14:textId="77777777">
            <w:pPr>
              <w:rPr>
                <w:sz w:val="20"/>
                <w:szCs w:val="20"/>
              </w:rPr>
            </w:pPr>
          </w:p>
          <w:p w:rsidRPr="00C21CF9" w:rsidR="0068339A" w:rsidP="00E92DC0" w:rsidRDefault="00DA1463" w14:paraId="697AE4E2" w14:textId="77777777">
            <w:pPr>
              <w:rPr>
                <w:sz w:val="20"/>
                <w:szCs w:val="20"/>
              </w:rPr>
            </w:pPr>
            <w:hyperlink w:history="1" r:id="rId19">
              <w:r w:rsidRPr="00C21CF9" w:rsidR="0068339A">
                <w:rPr>
                  <w:rStyle w:val="Hyperlink"/>
                  <w:sz w:val="20"/>
                  <w:szCs w:val="20"/>
                </w:rPr>
                <w:t>https://sustainabledevelopment.un.org/index.php?page=view&amp;type=13&amp;nr=3054&amp;menu=1634</w:t>
              </w:r>
            </w:hyperlink>
          </w:p>
          <w:p w:rsidRPr="00C21CF9" w:rsidR="0068339A" w:rsidP="00E92DC0" w:rsidRDefault="0068339A" w14:paraId="2AABA9B0" w14:textId="77777777">
            <w:pPr>
              <w:rPr>
                <w:sz w:val="20"/>
                <w:szCs w:val="20"/>
              </w:rPr>
            </w:pPr>
          </w:p>
        </w:tc>
        <w:tc>
          <w:tcPr>
            <w:tcW w:w="2520" w:type="dxa"/>
          </w:tcPr>
          <w:p w:rsidRPr="00276A4F" w:rsidR="0068339A" w:rsidP="00E92DC0" w:rsidRDefault="0068339A" w14:paraId="16999AE2" w14:textId="77777777">
            <w:pPr>
              <w:rPr>
                <w:sz w:val="20"/>
                <w:szCs w:val="20"/>
                <w:u w:val="single"/>
              </w:rPr>
            </w:pPr>
            <w:r w:rsidRPr="00276A4F">
              <w:rPr>
                <w:sz w:val="20"/>
                <w:szCs w:val="20"/>
                <w:u w:val="single"/>
              </w:rPr>
              <w:t>Most indicators</w:t>
            </w:r>
          </w:p>
          <w:p w:rsidR="0068339A" w:rsidP="00E92DC0" w:rsidRDefault="0068339A" w14:paraId="1DD790B1" w14:textId="77777777">
            <w:pPr>
              <w:rPr>
                <w:sz w:val="20"/>
                <w:szCs w:val="20"/>
              </w:rPr>
            </w:pPr>
            <w:r>
              <w:rPr>
                <w:sz w:val="20"/>
                <w:szCs w:val="20"/>
              </w:rPr>
              <w:t>ILO</w:t>
            </w:r>
          </w:p>
          <w:p w:rsidR="0068339A" w:rsidP="00E92DC0" w:rsidRDefault="0068339A" w14:paraId="71D69FCD" w14:textId="77777777">
            <w:pPr>
              <w:rPr>
                <w:sz w:val="20"/>
                <w:szCs w:val="20"/>
              </w:rPr>
            </w:pPr>
          </w:p>
          <w:p w:rsidRPr="00276A4F" w:rsidR="0068339A" w:rsidP="00E92DC0" w:rsidRDefault="0068339A" w14:paraId="51BD82F1" w14:textId="77777777">
            <w:pPr>
              <w:rPr>
                <w:sz w:val="20"/>
                <w:szCs w:val="20"/>
                <w:u w:val="single"/>
              </w:rPr>
            </w:pPr>
            <w:r w:rsidRPr="00276A4F">
              <w:rPr>
                <w:sz w:val="20"/>
                <w:szCs w:val="20"/>
                <w:u w:val="single"/>
              </w:rPr>
              <w:t>2 or fewer indicators</w:t>
            </w:r>
          </w:p>
          <w:p w:rsidRPr="008761EF" w:rsidR="0068339A" w:rsidP="00E92DC0" w:rsidRDefault="0068339A" w14:paraId="6E5540F9" w14:textId="77777777">
            <w:pPr>
              <w:rPr>
                <w:sz w:val="20"/>
                <w:szCs w:val="20"/>
                <w:lang w:val="en-US"/>
              </w:rPr>
            </w:pPr>
            <w:r w:rsidRPr="008761EF">
              <w:rPr>
                <w:sz w:val="20"/>
                <w:szCs w:val="20"/>
                <w:lang w:val="en-US"/>
              </w:rPr>
              <w:t>UNEP, UNWTO, UNCDF, OECD, UNI</w:t>
            </w:r>
            <w:r>
              <w:rPr>
                <w:sz w:val="20"/>
                <w:szCs w:val="20"/>
                <w:lang w:val="en-US"/>
              </w:rPr>
              <w:t>CEF, DESA</w:t>
            </w:r>
          </w:p>
          <w:p w:rsidRPr="008761EF" w:rsidR="0068339A" w:rsidP="00E92DC0" w:rsidRDefault="0068339A" w14:paraId="57AA8019" w14:textId="77777777">
            <w:pPr>
              <w:rPr>
                <w:sz w:val="20"/>
                <w:szCs w:val="20"/>
                <w:lang w:val="en-US"/>
              </w:rPr>
            </w:pPr>
          </w:p>
        </w:tc>
      </w:tr>
      <w:tr w:rsidRPr="004069CE" w:rsidR="0068339A" w:rsidTr="00C15167" w14:paraId="15F2BE4A" w14:textId="77777777">
        <w:trPr>
          <w:jc w:val="center"/>
        </w:trPr>
        <w:tc>
          <w:tcPr>
            <w:tcW w:w="985" w:type="dxa"/>
            <w:shd w:val="clear" w:color="auto" w:fill="E7E6E6" w:themeFill="background2"/>
          </w:tcPr>
          <w:p w:rsidRPr="006B555D" w:rsidR="0068339A" w:rsidP="00E92DC0" w:rsidRDefault="0068339A" w14:paraId="1FE03C79" w14:textId="77777777">
            <w:pPr>
              <w:rPr>
                <w:b/>
                <w:bCs/>
                <w:sz w:val="20"/>
                <w:szCs w:val="20"/>
              </w:rPr>
            </w:pPr>
            <w:r w:rsidRPr="006B555D">
              <w:rPr>
                <w:b/>
                <w:bCs/>
                <w:sz w:val="20"/>
                <w:szCs w:val="20"/>
              </w:rPr>
              <w:t>1</w:t>
            </w:r>
            <w:r>
              <w:rPr>
                <w:b/>
                <w:bCs/>
                <w:sz w:val="20"/>
                <w:szCs w:val="20"/>
              </w:rPr>
              <w:t>4</w:t>
            </w:r>
            <w:r w:rsidRPr="006B555D">
              <w:rPr>
                <w:b/>
                <w:bCs/>
                <w:sz w:val="20"/>
                <w:szCs w:val="20"/>
              </w:rPr>
              <w:t xml:space="preserve"> – </w:t>
            </w:r>
            <w:r>
              <w:rPr>
                <w:b/>
                <w:bCs/>
                <w:sz w:val="20"/>
                <w:szCs w:val="20"/>
              </w:rPr>
              <w:t>Life below water</w:t>
            </w:r>
          </w:p>
        </w:tc>
        <w:tc>
          <w:tcPr>
            <w:tcW w:w="640" w:type="dxa"/>
          </w:tcPr>
          <w:p w:rsidRPr="00665A6E" w:rsidR="0068339A" w:rsidP="00E92DC0" w:rsidRDefault="0068339A" w14:paraId="787CADDE" w14:textId="77777777">
            <w:pPr>
              <w:rPr>
                <w:sz w:val="20"/>
                <w:szCs w:val="20"/>
              </w:rPr>
            </w:pPr>
            <w:r w:rsidRPr="00665A6E">
              <w:rPr>
                <w:sz w:val="20"/>
                <w:szCs w:val="20"/>
              </w:rPr>
              <w:t>2022 (Virtual)</w:t>
            </w:r>
          </w:p>
        </w:tc>
        <w:tc>
          <w:tcPr>
            <w:tcW w:w="1440" w:type="dxa"/>
          </w:tcPr>
          <w:p w:rsidRPr="00665A6E" w:rsidR="0068339A" w:rsidP="00E92DC0" w:rsidRDefault="0068339A" w14:paraId="62271B87" w14:textId="77777777">
            <w:pPr>
              <w:rPr>
                <w:sz w:val="20"/>
                <w:szCs w:val="20"/>
              </w:rPr>
            </w:pPr>
            <w:r w:rsidRPr="00665A6E">
              <w:rPr>
                <w:rFonts w:cstheme="minorHAnsi"/>
                <w:sz w:val="20"/>
                <w:szCs w:val="20"/>
                <w:lang w:val="en-US"/>
              </w:rPr>
              <w:t>DESA</w:t>
            </w:r>
          </w:p>
        </w:tc>
        <w:tc>
          <w:tcPr>
            <w:tcW w:w="1440" w:type="dxa"/>
          </w:tcPr>
          <w:p w:rsidRPr="00665A6E" w:rsidR="0068339A" w:rsidP="00E92DC0" w:rsidRDefault="00DA1463" w14:paraId="1157E9E1" w14:textId="77777777">
            <w:pPr>
              <w:rPr>
                <w:sz w:val="20"/>
                <w:szCs w:val="20"/>
              </w:rPr>
            </w:pPr>
            <w:hyperlink w:history="1" r:id="rId20">
              <w:r w:rsidRPr="00665A6E" w:rsidR="0068339A">
                <w:rPr>
                  <w:rStyle w:val="Hyperlink"/>
                  <w:sz w:val="20"/>
                  <w:szCs w:val="20"/>
                </w:rPr>
                <w:t>https://sdgs.un.org/sites/default/files/2022-05/HLPF%202022%20SDG%2014%20Expert%20Group%20Meeting%20</w:t>
              </w:r>
              <w:r w:rsidRPr="00665A6E" w:rsidR="0068339A">
                <w:rPr>
                  <w:rStyle w:val="Hyperlink"/>
                  <w:sz w:val="20"/>
                  <w:szCs w:val="20"/>
                </w:rPr>
                <w:lastRenderedPageBreak/>
                <w:t>Concept%20Note%20and%20Program_May%2010%202022_FINAL_1.pdf</w:t>
              </w:r>
            </w:hyperlink>
          </w:p>
          <w:p w:rsidRPr="00665A6E" w:rsidR="0068339A" w:rsidP="00E92DC0" w:rsidRDefault="0068339A" w14:paraId="74B41C6D" w14:textId="77777777">
            <w:pPr>
              <w:rPr>
                <w:sz w:val="20"/>
                <w:szCs w:val="20"/>
              </w:rPr>
            </w:pPr>
          </w:p>
        </w:tc>
        <w:tc>
          <w:tcPr>
            <w:tcW w:w="1620" w:type="dxa"/>
          </w:tcPr>
          <w:p w:rsidRPr="00665A6E" w:rsidR="0068339A" w:rsidP="00E92DC0" w:rsidRDefault="00DA1463" w14:paraId="3CB36A93" w14:textId="77777777">
            <w:pPr>
              <w:rPr>
                <w:sz w:val="20"/>
                <w:szCs w:val="20"/>
              </w:rPr>
            </w:pPr>
            <w:hyperlink w:history="1" r:id="rId21">
              <w:r w:rsidRPr="00665A6E" w:rsidR="0068339A">
                <w:rPr>
                  <w:rStyle w:val="Hyperlink"/>
                  <w:sz w:val="20"/>
                  <w:szCs w:val="20"/>
                </w:rPr>
                <w:t>https://hlpf.un.org/sites/default/files/2022-06/BN%20HLPF%202022%20SDG%2014.pdf</w:t>
              </w:r>
            </w:hyperlink>
          </w:p>
          <w:p w:rsidRPr="00665A6E" w:rsidR="0068339A" w:rsidP="00E92DC0" w:rsidRDefault="0068339A" w14:paraId="4A0C4F4F" w14:textId="77777777">
            <w:pPr>
              <w:rPr>
                <w:sz w:val="20"/>
                <w:szCs w:val="20"/>
              </w:rPr>
            </w:pPr>
          </w:p>
        </w:tc>
        <w:tc>
          <w:tcPr>
            <w:tcW w:w="2520" w:type="dxa"/>
          </w:tcPr>
          <w:p w:rsidRPr="00C21CF9" w:rsidR="0068339A" w:rsidP="00E92DC0" w:rsidRDefault="0068339A" w14:paraId="554B7598" w14:textId="77777777">
            <w:pPr>
              <w:rPr>
                <w:sz w:val="20"/>
                <w:szCs w:val="20"/>
              </w:rPr>
            </w:pPr>
            <w:r w:rsidRPr="00C21CF9">
              <w:rPr>
                <w:sz w:val="20"/>
                <w:szCs w:val="20"/>
              </w:rPr>
              <w:t xml:space="preserve">There has not been an in-person EGM on SDG 14. In </w:t>
            </w:r>
            <w:r w:rsidRPr="00FB6202">
              <w:rPr>
                <w:b/>
                <w:bCs/>
                <w:sz w:val="20"/>
                <w:szCs w:val="20"/>
                <w:u w:val="single"/>
              </w:rPr>
              <w:t>2017</w:t>
            </w:r>
            <w:r w:rsidRPr="00C21CF9">
              <w:rPr>
                <w:sz w:val="20"/>
                <w:szCs w:val="20"/>
              </w:rPr>
              <w:t xml:space="preserve"> there was a joint review paper led by FAO and UNESCO.</w:t>
            </w:r>
          </w:p>
          <w:p w:rsidRPr="00C21CF9" w:rsidR="0068339A" w:rsidP="00E92DC0" w:rsidRDefault="0068339A" w14:paraId="4AEB37A3" w14:textId="77777777">
            <w:pPr>
              <w:rPr>
                <w:sz w:val="20"/>
                <w:szCs w:val="20"/>
              </w:rPr>
            </w:pPr>
          </w:p>
          <w:p w:rsidRPr="00C21CF9" w:rsidR="0068339A" w:rsidP="00E92DC0" w:rsidRDefault="00DA1463" w14:paraId="3CC245E0" w14:textId="77777777">
            <w:pPr>
              <w:rPr>
                <w:sz w:val="20"/>
                <w:szCs w:val="20"/>
              </w:rPr>
            </w:pPr>
            <w:hyperlink w:history="1" r:id="rId22">
              <w:r w:rsidRPr="00C21CF9" w:rsidR="0068339A">
                <w:rPr>
                  <w:rStyle w:val="Hyperlink"/>
                  <w:sz w:val="20"/>
                  <w:szCs w:val="20"/>
                </w:rPr>
                <w:t>https://hlpf.un.org/sites/default/files/migrated/docum</w:t>
              </w:r>
              <w:r w:rsidRPr="00C21CF9" w:rsidR="0068339A">
                <w:rPr>
                  <w:rStyle w:val="Hyperlink"/>
                  <w:sz w:val="20"/>
                  <w:szCs w:val="20"/>
                </w:rPr>
                <w:lastRenderedPageBreak/>
                <w:t>ents/14375SDG14format-revOD.pdf</w:t>
              </w:r>
            </w:hyperlink>
          </w:p>
          <w:p w:rsidRPr="00C21CF9" w:rsidR="0068339A" w:rsidP="00E92DC0" w:rsidRDefault="0068339A" w14:paraId="03FF7E2B" w14:textId="77777777">
            <w:pPr>
              <w:rPr>
                <w:sz w:val="20"/>
                <w:szCs w:val="20"/>
              </w:rPr>
            </w:pPr>
          </w:p>
        </w:tc>
        <w:tc>
          <w:tcPr>
            <w:tcW w:w="2520" w:type="dxa"/>
          </w:tcPr>
          <w:p w:rsidRPr="00276A4F" w:rsidR="0068339A" w:rsidP="00E92DC0" w:rsidRDefault="0068339A" w14:paraId="7B97D849" w14:textId="77777777">
            <w:pPr>
              <w:rPr>
                <w:sz w:val="20"/>
                <w:szCs w:val="20"/>
                <w:u w:val="single"/>
              </w:rPr>
            </w:pPr>
            <w:r w:rsidRPr="00276A4F">
              <w:rPr>
                <w:sz w:val="20"/>
                <w:szCs w:val="20"/>
                <w:u w:val="single"/>
              </w:rPr>
              <w:lastRenderedPageBreak/>
              <w:t>Most indicators</w:t>
            </w:r>
          </w:p>
          <w:p w:rsidR="0068339A" w:rsidP="00E92DC0" w:rsidRDefault="0068339A" w14:paraId="0B517038" w14:textId="77777777">
            <w:pPr>
              <w:rPr>
                <w:sz w:val="20"/>
                <w:szCs w:val="20"/>
              </w:rPr>
            </w:pPr>
            <w:r>
              <w:rPr>
                <w:sz w:val="20"/>
                <w:szCs w:val="20"/>
              </w:rPr>
              <w:t>UNEP, FAO</w:t>
            </w:r>
          </w:p>
          <w:p w:rsidR="0068339A" w:rsidP="00E92DC0" w:rsidRDefault="0068339A" w14:paraId="4E4AC605" w14:textId="77777777">
            <w:pPr>
              <w:rPr>
                <w:sz w:val="20"/>
                <w:szCs w:val="20"/>
              </w:rPr>
            </w:pPr>
          </w:p>
          <w:p w:rsidRPr="00276A4F" w:rsidR="0068339A" w:rsidP="00E92DC0" w:rsidRDefault="0068339A" w14:paraId="259B9811" w14:textId="77777777">
            <w:pPr>
              <w:rPr>
                <w:sz w:val="20"/>
                <w:szCs w:val="20"/>
                <w:u w:val="single"/>
              </w:rPr>
            </w:pPr>
            <w:r w:rsidRPr="00276A4F">
              <w:rPr>
                <w:sz w:val="20"/>
                <w:szCs w:val="20"/>
                <w:u w:val="single"/>
              </w:rPr>
              <w:t>2 or fewer indicators</w:t>
            </w:r>
          </w:p>
          <w:p w:rsidRPr="00344996" w:rsidR="0068339A" w:rsidP="00E92DC0" w:rsidRDefault="0068339A" w14:paraId="5D258D61" w14:textId="77777777">
            <w:pPr>
              <w:rPr>
                <w:rFonts w:cstheme="minorHAnsi"/>
                <w:color w:val="000000" w:themeColor="text1"/>
                <w:sz w:val="20"/>
                <w:szCs w:val="20"/>
                <w:lang w:val="en-US"/>
              </w:rPr>
            </w:pPr>
            <w:r w:rsidRPr="00344996">
              <w:rPr>
                <w:rFonts w:cstheme="minorHAnsi"/>
                <w:color w:val="000000" w:themeColor="text1"/>
                <w:sz w:val="20"/>
                <w:szCs w:val="20"/>
                <w:lang w:val="en-US"/>
              </w:rPr>
              <w:t xml:space="preserve">UNESCO, IUCN, </w:t>
            </w:r>
            <w:r w:rsidRPr="00344996">
              <w:rPr>
                <w:rFonts w:cstheme="minorHAnsi"/>
                <w:color w:val="000000" w:themeColor="text1"/>
                <w:sz w:val="20"/>
                <w:szCs w:val="20"/>
                <w:shd w:val="clear" w:color="auto" w:fill="FFFFFF"/>
              </w:rPr>
              <w:t>UNDOALOS</w:t>
            </w:r>
          </w:p>
          <w:p w:rsidRPr="00665A6E" w:rsidR="0068339A" w:rsidP="00E92DC0" w:rsidRDefault="0068339A" w14:paraId="04ADADD7" w14:textId="77777777">
            <w:pPr>
              <w:rPr>
                <w:sz w:val="20"/>
                <w:szCs w:val="20"/>
              </w:rPr>
            </w:pPr>
          </w:p>
        </w:tc>
      </w:tr>
    </w:tbl>
    <w:p w:rsidR="00803D62" w:rsidP="00FA1E09" w:rsidRDefault="00803D62" w14:paraId="43A875E8" w14:textId="77777777">
      <w:pPr>
        <w:spacing w:after="120"/>
        <w:rPr>
          <w:b/>
          <w:bCs/>
          <w:u w:val="single"/>
        </w:rPr>
      </w:pPr>
    </w:p>
    <w:p w:rsidRPr="00BD40F8" w:rsidR="00A97D4C" w:rsidP="00FA1E09" w:rsidRDefault="00A97D4C" w14:paraId="2484C309" w14:textId="77777777">
      <w:pPr>
        <w:spacing w:after="120"/>
        <w:rPr>
          <w:rFonts w:cstheme="minorHAnsi"/>
          <w:sz w:val="20"/>
          <w:szCs w:val="20"/>
          <w:lang w:val="en-US"/>
        </w:rPr>
      </w:pPr>
      <w:r w:rsidRPr="00BD40F8">
        <w:rPr>
          <w:rFonts w:cstheme="minorHAnsi"/>
          <w:sz w:val="20"/>
          <w:szCs w:val="20"/>
          <w:lang w:val="en-US"/>
        </w:rPr>
        <w:t>*SDG 17 has been reviewed through each of these reviews based on interlinkages as an enabling mechanism with each of the other Goals.</w:t>
      </w:r>
      <w:r>
        <w:rPr>
          <w:rFonts w:cstheme="minorHAnsi"/>
          <w:sz w:val="20"/>
          <w:szCs w:val="20"/>
          <w:lang w:val="en-US"/>
        </w:rPr>
        <w:t xml:space="preserve"> Reviews of SDG 17 also benefit from the Annual Partnership Forum.</w:t>
      </w:r>
    </w:p>
    <w:p w:rsidRPr="00A97D4C" w:rsidR="00943017" w:rsidP="00FA1E09" w:rsidRDefault="00943017" w14:paraId="4E10D507" w14:textId="77777777">
      <w:pPr>
        <w:spacing w:after="120"/>
        <w:rPr>
          <w:b/>
          <w:bCs/>
          <w:u w:val="single"/>
          <w:lang w:val="en-US"/>
        </w:rPr>
      </w:pPr>
    </w:p>
    <w:sectPr w:rsidRPr="00A97D4C" w:rsidR="009430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5C8B" w:rsidP="00CB5192" w:rsidRDefault="006B5C8B" w14:paraId="44E1FBE9" w14:textId="77777777">
      <w:pPr>
        <w:spacing w:after="0" w:line="240" w:lineRule="auto"/>
      </w:pPr>
      <w:r>
        <w:separator/>
      </w:r>
    </w:p>
  </w:endnote>
  <w:endnote w:type="continuationSeparator" w:id="0">
    <w:p w:rsidR="006B5C8B" w:rsidP="00CB5192" w:rsidRDefault="006B5C8B" w14:paraId="410168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5C8B" w:rsidP="00CB5192" w:rsidRDefault="006B5C8B" w14:paraId="16841C2B" w14:textId="77777777">
      <w:pPr>
        <w:spacing w:after="0" w:line="240" w:lineRule="auto"/>
      </w:pPr>
      <w:r>
        <w:separator/>
      </w:r>
    </w:p>
  </w:footnote>
  <w:footnote w:type="continuationSeparator" w:id="0">
    <w:p w:rsidR="006B5C8B" w:rsidP="00CB5192" w:rsidRDefault="006B5C8B" w14:paraId="622E2629" w14:textId="77777777">
      <w:pPr>
        <w:spacing w:after="0" w:line="240" w:lineRule="auto"/>
      </w:pPr>
      <w:r>
        <w:continuationSeparator/>
      </w:r>
    </w:p>
  </w:footnote>
  <w:footnote w:id="1">
    <w:p w:rsidRPr="00A5794E" w:rsidR="00A5794E" w:rsidRDefault="00A5794E" w14:paraId="3FE06378" w14:textId="29232B41">
      <w:pPr>
        <w:pStyle w:val="FootnoteText"/>
      </w:pPr>
      <w:r>
        <w:rPr>
          <w:rStyle w:val="FootnoteReference"/>
        </w:rPr>
        <w:footnoteRef/>
      </w:r>
      <w:r>
        <w:t xml:space="preserve"> The data</w:t>
      </w:r>
      <w:r w:rsidR="008E0712">
        <w:t xml:space="preserve"> in this document</w:t>
      </w:r>
      <w:r>
        <w:t xml:space="preserve"> are from </w:t>
      </w:r>
      <w:r w:rsidR="00134F1D">
        <w:t xml:space="preserve">United Nations. </w:t>
      </w:r>
      <w:hyperlink w:history="1" r:id="rId1">
        <w:r w:rsidRPr="008B451B" w:rsidR="0048489B">
          <w:rPr>
            <w:rStyle w:val="Hyperlink"/>
          </w:rPr>
          <w:t>The Sustainable Development Goals Report 202</w:t>
        </w:r>
        <w:r w:rsidRPr="008B451B" w:rsidR="008B451B">
          <w:rPr>
            <w:rStyle w:val="Hyperlink"/>
          </w:rPr>
          <w:t>4</w:t>
        </w:r>
      </w:hyperlink>
      <w:r w:rsidR="0048489B">
        <w:t xml:space="preserve"> unless otherwise stated.</w:t>
      </w:r>
    </w:p>
  </w:footnote>
  <w:footnote w:id="2">
    <w:p w:rsidRPr="006251D9" w:rsidR="006251D9" w:rsidRDefault="006251D9" w14:paraId="40BD978E" w14:textId="578340B6">
      <w:pPr>
        <w:pStyle w:val="FootnoteText"/>
      </w:pPr>
      <w:r>
        <w:rPr>
          <w:rStyle w:val="FootnoteReference"/>
        </w:rPr>
        <w:footnoteRef/>
      </w:r>
      <w:r>
        <w:t xml:space="preserve"> </w:t>
      </w:r>
      <w:r w:rsidRPr="00C0621C">
        <w:t>https://www.un.org/development/desa/dpad/publication/world-economic-situation-and-prospects-2024/</w:t>
      </w:r>
    </w:p>
  </w:footnote>
  <w:footnote w:id="3">
    <w:p w:rsidRPr="00C763A5" w:rsidR="00241572" w:rsidP="00241572" w:rsidRDefault="00241572" w14:paraId="4E5B648D" w14:textId="77777777">
      <w:pPr>
        <w:pStyle w:val="FootnoteText"/>
      </w:pPr>
      <w:r>
        <w:rPr>
          <w:rStyle w:val="FootnoteReference"/>
        </w:rPr>
        <w:footnoteRef/>
      </w:r>
      <w:r>
        <w:t xml:space="preserve"> </w:t>
      </w:r>
      <w:r w:rsidRPr="00C0621C">
        <w:t>https://www.un.org/development/desa/dpad/publication/world-economic-situation-and-prospects-2024/</w:t>
      </w:r>
    </w:p>
  </w:footnote>
  <w:footnote w:id="4">
    <w:p w:rsidRPr="00AE601A" w:rsidR="00AE601A" w:rsidRDefault="00AE601A" w14:paraId="1F819FB5" w14:textId="3011B48B">
      <w:pPr>
        <w:pStyle w:val="FootnoteText"/>
        <w:rPr>
          <w:lang w:val="en-US"/>
        </w:rPr>
      </w:pPr>
      <w:r>
        <w:rPr>
          <w:rStyle w:val="FootnoteReference"/>
        </w:rPr>
        <w:footnoteRef/>
      </w:r>
      <w:r>
        <w:t xml:space="preserve"> </w:t>
      </w:r>
      <w:r w:rsidRPr="00AE601A">
        <w:t>https://www.ilo.org/publications/flagship-reports/world-social-protection-report-2024-26-universal-social-protection-climate</w:t>
      </w:r>
    </w:p>
  </w:footnote>
  <w:footnote w:id="5">
    <w:p w:rsidRPr="00A24748" w:rsidR="00A24748" w:rsidRDefault="00A24748" w14:paraId="59DC14AF" w14:textId="137922ED">
      <w:pPr>
        <w:pStyle w:val="FootnoteText"/>
      </w:pPr>
      <w:r>
        <w:rPr>
          <w:rStyle w:val="FootnoteReference"/>
        </w:rPr>
        <w:footnoteRef/>
      </w:r>
      <w:r>
        <w:t xml:space="preserve"> </w:t>
      </w:r>
      <w:r w:rsidRPr="00543543" w:rsidR="00543543">
        <w:t>https://sdgs.un.org/gsdr/gsdr2023</w:t>
      </w:r>
    </w:p>
  </w:footnote>
  <w:footnote w:id="6">
    <w:p w:rsidRPr="006A574F" w:rsidR="006A574F" w:rsidRDefault="006A574F" w14:paraId="7DBD7E93" w14:textId="0F76DC00">
      <w:pPr>
        <w:pStyle w:val="FootnoteText"/>
      </w:pPr>
      <w:r>
        <w:rPr>
          <w:rStyle w:val="FootnoteReference"/>
        </w:rPr>
        <w:footnoteRef/>
      </w:r>
      <w:r>
        <w:t xml:space="preserve"> </w:t>
      </w:r>
      <w:r w:rsidRPr="006A574F">
        <w:t>https://publichealth.jhu.edu/2024/is-a-pandemic-treaty-still-possible</w:t>
      </w:r>
    </w:p>
  </w:footnote>
  <w:footnote w:id="7">
    <w:p w:rsidRPr="00CA66D1" w:rsidR="00CA66D1" w:rsidRDefault="00CA66D1" w14:paraId="6FCC2FD2" w14:textId="2CEBBD4E">
      <w:pPr>
        <w:pStyle w:val="FootnoteText"/>
      </w:pPr>
      <w:r>
        <w:rPr>
          <w:rStyle w:val="FootnoteReference"/>
        </w:rPr>
        <w:footnoteRef/>
      </w:r>
      <w:r>
        <w:t xml:space="preserve"> </w:t>
      </w:r>
      <w:r w:rsidRPr="004645E5" w:rsidR="004645E5">
        <w:t>https://www.unwomen.org/en/digital-library/publications/2024/09/progress-on-the-sustainable-development-goals-the-gender-snapshot-2024</w:t>
      </w:r>
    </w:p>
  </w:footnote>
  <w:footnote w:id="8">
    <w:p w:rsidRPr="00606954" w:rsidR="00606954" w:rsidRDefault="00606954" w14:paraId="2CD1004B" w14:textId="5DD55A38">
      <w:pPr>
        <w:pStyle w:val="FootnoteText"/>
      </w:pPr>
      <w:r>
        <w:rPr>
          <w:rStyle w:val="FootnoteReference"/>
        </w:rPr>
        <w:footnoteRef/>
      </w:r>
      <w:r>
        <w:t xml:space="preserve"> </w:t>
      </w:r>
      <w:r w:rsidRPr="004645E5">
        <w:t>https://www.unwomen.org/en/digital-library/publications/2024/09/progress-on-the-sustainable-development-goals-the-gender-snapshot-2024</w:t>
      </w:r>
    </w:p>
  </w:footnote>
  <w:footnote w:id="9">
    <w:p w:rsidRPr="00660FC9" w:rsidR="005131BE" w:rsidP="005131BE" w:rsidRDefault="005131BE" w14:paraId="3CA9F5B3" w14:textId="77777777">
      <w:pPr>
        <w:pStyle w:val="FootnoteText"/>
        <w:rPr>
          <w:lang w:val="en-US"/>
        </w:rPr>
      </w:pPr>
      <w:r>
        <w:rPr>
          <w:rStyle w:val="FootnoteReference"/>
        </w:rPr>
        <w:footnoteRef/>
      </w:r>
      <w:r>
        <w:t xml:space="preserve"> </w:t>
      </w:r>
      <w:r w:rsidRPr="00660FC9">
        <w:t>https://www.un.org/development/desa/dpad/publication/world-economic-situation-and-prospects-september-2024-update/</w:t>
      </w:r>
    </w:p>
  </w:footnote>
  <w:footnote w:id="10">
    <w:p w:rsidRPr="001F0A38" w:rsidR="00507FC5" w:rsidP="00507FC5" w:rsidRDefault="00507FC5" w14:paraId="2C8E701D" w14:textId="77777777">
      <w:pPr>
        <w:pStyle w:val="FootnoteText"/>
      </w:pPr>
      <w:r>
        <w:rPr>
          <w:rStyle w:val="FootnoteReference"/>
        </w:rPr>
        <w:footnoteRef/>
      </w:r>
      <w:r>
        <w:t xml:space="preserve"> </w:t>
      </w:r>
      <w:r w:rsidRPr="00C0621C">
        <w:t>https://www.un.org/development/desa/dpad/publication/world-economic-situation-and-prospects-2024/</w:t>
      </w:r>
    </w:p>
  </w:footnote>
  <w:footnote w:id="11">
    <w:p w:rsidRPr="00795763" w:rsidR="00795763" w:rsidRDefault="00795763" w14:paraId="7D211BD7" w14:textId="18B1BC43">
      <w:pPr>
        <w:pStyle w:val="FootnoteText"/>
        <w:rPr>
          <w:lang w:val="en-US"/>
        </w:rPr>
      </w:pPr>
      <w:r>
        <w:rPr>
          <w:rStyle w:val="FootnoteReference"/>
        </w:rPr>
        <w:footnoteRef/>
      </w:r>
      <w:r>
        <w:t xml:space="preserve"> </w:t>
      </w:r>
      <w:r w:rsidRPr="00795763">
        <w:t>https://sustainabledevelopment.un.org/content/documents/25385Meeting_report_SDG8_final.pdf</w:t>
      </w:r>
    </w:p>
  </w:footnote>
  <w:footnote w:id="12">
    <w:p w:rsidRPr="00795763" w:rsidR="00795763" w:rsidRDefault="00795763" w14:paraId="364A9542" w14:textId="3A41A258">
      <w:pPr>
        <w:pStyle w:val="FootnoteText"/>
        <w:rPr>
          <w:lang w:val="en-US"/>
        </w:rPr>
      </w:pPr>
      <w:r>
        <w:rPr>
          <w:rStyle w:val="FootnoteReference"/>
        </w:rPr>
        <w:footnoteRef/>
      </w:r>
      <w:r>
        <w:t xml:space="preserve"> </w:t>
      </w:r>
      <w:r w:rsidRPr="00795763">
        <w:t>https://hlpf.un.org/sites/default/files/migrated/documents/27874BN_HLPF_2021_SDG_1_2_8_17.pdf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E0CD6"/>
    <w:multiLevelType w:val="hybridMultilevel"/>
    <w:tmpl w:val="1B54EDD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47F5A71"/>
    <w:multiLevelType w:val="hybridMultilevel"/>
    <w:tmpl w:val="BBAA10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6EB08BD"/>
    <w:multiLevelType w:val="hybridMultilevel"/>
    <w:tmpl w:val="2578D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0A6E12"/>
    <w:multiLevelType w:val="hybridMultilevel"/>
    <w:tmpl w:val="CBD2B5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5E02D0C"/>
    <w:multiLevelType w:val="hybridMultilevel"/>
    <w:tmpl w:val="DEDC1C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D705517"/>
    <w:multiLevelType w:val="hybridMultilevel"/>
    <w:tmpl w:val="156667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21909823">
    <w:abstractNumId w:val="4"/>
  </w:num>
  <w:num w:numId="2" w16cid:durableId="1491678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6354324">
    <w:abstractNumId w:val="2"/>
  </w:num>
  <w:num w:numId="4" w16cid:durableId="1381901193">
    <w:abstractNumId w:val="3"/>
  </w:num>
  <w:num w:numId="5" w16cid:durableId="1592203216">
    <w:abstractNumId w:val="5"/>
  </w:num>
  <w:num w:numId="6" w16cid:durableId="1088189710">
    <w:abstractNumId w:val="0"/>
  </w:num>
  <w:num w:numId="7" w16cid:durableId="732120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E0"/>
    <w:rsid w:val="000001D2"/>
    <w:rsid w:val="000064D9"/>
    <w:rsid w:val="00006DD5"/>
    <w:rsid w:val="00007B5F"/>
    <w:rsid w:val="00010BE8"/>
    <w:rsid w:val="000111C8"/>
    <w:rsid w:val="000203CD"/>
    <w:rsid w:val="00020EA0"/>
    <w:rsid w:val="000257CB"/>
    <w:rsid w:val="00025836"/>
    <w:rsid w:val="00025D09"/>
    <w:rsid w:val="00027631"/>
    <w:rsid w:val="0003052C"/>
    <w:rsid w:val="00033D9C"/>
    <w:rsid w:val="00035BB6"/>
    <w:rsid w:val="00036FD3"/>
    <w:rsid w:val="00037195"/>
    <w:rsid w:val="000418A1"/>
    <w:rsid w:val="00042A81"/>
    <w:rsid w:val="00043228"/>
    <w:rsid w:val="00047667"/>
    <w:rsid w:val="0005525C"/>
    <w:rsid w:val="00055729"/>
    <w:rsid w:val="00057A6E"/>
    <w:rsid w:val="00061F9E"/>
    <w:rsid w:val="000626CE"/>
    <w:rsid w:val="000634BC"/>
    <w:rsid w:val="00064725"/>
    <w:rsid w:val="000651ED"/>
    <w:rsid w:val="00070AD8"/>
    <w:rsid w:val="00072245"/>
    <w:rsid w:val="000746EB"/>
    <w:rsid w:val="00075BF7"/>
    <w:rsid w:val="00080F67"/>
    <w:rsid w:val="0008243A"/>
    <w:rsid w:val="00085244"/>
    <w:rsid w:val="00085C67"/>
    <w:rsid w:val="00086884"/>
    <w:rsid w:val="000872A2"/>
    <w:rsid w:val="00090A07"/>
    <w:rsid w:val="00093E0F"/>
    <w:rsid w:val="000941EB"/>
    <w:rsid w:val="000A31D8"/>
    <w:rsid w:val="000A33CC"/>
    <w:rsid w:val="000A6A64"/>
    <w:rsid w:val="000B06E2"/>
    <w:rsid w:val="000B127C"/>
    <w:rsid w:val="000B1902"/>
    <w:rsid w:val="000C1D25"/>
    <w:rsid w:val="000C2485"/>
    <w:rsid w:val="000C49C3"/>
    <w:rsid w:val="000C587D"/>
    <w:rsid w:val="000D14E8"/>
    <w:rsid w:val="000D30E1"/>
    <w:rsid w:val="000D3757"/>
    <w:rsid w:val="000D44B4"/>
    <w:rsid w:val="000D5388"/>
    <w:rsid w:val="000D560F"/>
    <w:rsid w:val="000D5A52"/>
    <w:rsid w:val="000D5E8B"/>
    <w:rsid w:val="000D6329"/>
    <w:rsid w:val="000D68CE"/>
    <w:rsid w:val="000D70B2"/>
    <w:rsid w:val="000E075B"/>
    <w:rsid w:val="000E18A5"/>
    <w:rsid w:val="000E20E4"/>
    <w:rsid w:val="000E572D"/>
    <w:rsid w:val="000E640C"/>
    <w:rsid w:val="000E70AE"/>
    <w:rsid w:val="000F2AE0"/>
    <w:rsid w:val="000F4959"/>
    <w:rsid w:val="000F4CCA"/>
    <w:rsid w:val="000F6C87"/>
    <w:rsid w:val="000F6D23"/>
    <w:rsid w:val="000F6F6B"/>
    <w:rsid w:val="000F7444"/>
    <w:rsid w:val="00100A60"/>
    <w:rsid w:val="001018E6"/>
    <w:rsid w:val="00106720"/>
    <w:rsid w:val="0011139A"/>
    <w:rsid w:val="001118B7"/>
    <w:rsid w:val="00112A95"/>
    <w:rsid w:val="00114D41"/>
    <w:rsid w:val="001201F0"/>
    <w:rsid w:val="0012167F"/>
    <w:rsid w:val="00123676"/>
    <w:rsid w:val="00125127"/>
    <w:rsid w:val="00125403"/>
    <w:rsid w:val="00125683"/>
    <w:rsid w:val="00126B6E"/>
    <w:rsid w:val="00126D65"/>
    <w:rsid w:val="00127493"/>
    <w:rsid w:val="00127CBC"/>
    <w:rsid w:val="001302C9"/>
    <w:rsid w:val="001310C5"/>
    <w:rsid w:val="001325FC"/>
    <w:rsid w:val="00133907"/>
    <w:rsid w:val="00134F1D"/>
    <w:rsid w:val="00136FF8"/>
    <w:rsid w:val="00137617"/>
    <w:rsid w:val="0013762E"/>
    <w:rsid w:val="001407BE"/>
    <w:rsid w:val="001409E9"/>
    <w:rsid w:val="00141D25"/>
    <w:rsid w:val="001423EC"/>
    <w:rsid w:val="00145805"/>
    <w:rsid w:val="00146795"/>
    <w:rsid w:val="001508C9"/>
    <w:rsid w:val="00150F4F"/>
    <w:rsid w:val="0015124E"/>
    <w:rsid w:val="001521E7"/>
    <w:rsid w:val="0015338E"/>
    <w:rsid w:val="001555D6"/>
    <w:rsid w:val="0015566F"/>
    <w:rsid w:val="00157587"/>
    <w:rsid w:val="00163F80"/>
    <w:rsid w:val="0016713D"/>
    <w:rsid w:val="001703FE"/>
    <w:rsid w:val="001715CE"/>
    <w:rsid w:val="00172F35"/>
    <w:rsid w:val="00173829"/>
    <w:rsid w:val="0017420A"/>
    <w:rsid w:val="00174989"/>
    <w:rsid w:val="00176698"/>
    <w:rsid w:val="001810FF"/>
    <w:rsid w:val="00181213"/>
    <w:rsid w:val="00184A3C"/>
    <w:rsid w:val="001850E9"/>
    <w:rsid w:val="00186175"/>
    <w:rsid w:val="00187C53"/>
    <w:rsid w:val="0019073B"/>
    <w:rsid w:val="00192B20"/>
    <w:rsid w:val="0019711F"/>
    <w:rsid w:val="001A1516"/>
    <w:rsid w:val="001A340D"/>
    <w:rsid w:val="001A5139"/>
    <w:rsid w:val="001A5E65"/>
    <w:rsid w:val="001A677E"/>
    <w:rsid w:val="001A6E0E"/>
    <w:rsid w:val="001B0AF4"/>
    <w:rsid w:val="001B18A9"/>
    <w:rsid w:val="001B1BF7"/>
    <w:rsid w:val="001B290F"/>
    <w:rsid w:val="001B3632"/>
    <w:rsid w:val="001B59AA"/>
    <w:rsid w:val="001B7986"/>
    <w:rsid w:val="001C148F"/>
    <w:rsid w:val="001C3BDE"/>
    <w:rsid w:val="001C423E"/>
    <w:rsid w:val="001C4F96"/>
    <w:rsid w:val="001C74BD"/>
    <w:rsid w:val="001D1549"/>
    <w:rsid w:val="001D3645"/>
    <w:rsid w:val="001D3BDE"/>
    <w:rsid w:val="001D63C1"/>
    <w:rsid w:val="001E11EE"/>
    <w:rsid w:val="001E4B7C"/>
    <w:rsid w:val="001E71F7"/>
    <w:rsid w:val="001F0A38"/>
    <w:rsid w:val="001F108B"/>
    <w:rsid w:val="001F13AE"/>
    <w:rsid w:val="001F6E1E"/>
    <w:rsid w:val="00203C6D"/>
    <w:rsid w:val="00215377"/>
    <w:rsid w:val="002154CB"/>
    <w:rsid w:val="002160CA"/>
    <w:rsid w:val="00220E2C"/>
    <w:rsid w:val="00223786"/>
    <w:rsid w:val="00223B65"/>
    <w:rsid w:val="00225C5B"/>
    <w:rsid w:val="00226766"/>
    <w:rsid w:val="00226E65"/>
    <w:rsid w:val="00227796"/>
    <w:rsid w:val="00227CFE"/>
    <w:rsid w:val="00230D2C"/>
    <w:rsid w:val="00232DE4"/>
    <w:rsid w:val="00234D39"/>
    <w:rsid w:val="002352DA"/>
    <w:rsid w:val="00235C38"/>
    <w:rsid w:val="00235C57"/>
    <w:rsid w:val="00241572"/>
    <w:rsid w:val="002432AB"/>
    <w:rsid w:val="00244744"/>
    <w:rsid w:val="00244FF1"/>
    <w:rsid w:val="00246081"/>
    <w:rsid w:val="00246099"/>
    <w:rsid w:val="00247948"/>
    <w:rsid w:val="00250C22"/>
    <w:rsid w:val="00252634"/>
    <w:rsid w:val="00252A22"/>
    <w:rsid w:val="00255066"/>
    <w:rsid w:val="0025511B"/>
    <w:rsid w:val="0025579A"/>
    <w:rsid w:val="002565C2"/>
    <w:rsid w:val="00256F03"/>
    <w:rsid w:val="00260DF3"/>
    <w:rsid w:val="0026105A"/>
    <w:rsid w:val="00261B68"/>
    <w:rsid w:val="00262420"/>
    <w:rsid w:val="00264B53"/>
    <w:rsid w:val="00267C9C"/>
    <w:rsid w:val="00267EDB"/>
    <w:rsid w:val="00272766"/>
    <w:rsid w:val="00272BFD"/>
    <w:rsid w:val="00273F4E"/>
    <w:rsid w:val="00273FC7"/>
    <w:rsid w:val="00274CA8"/>
    <w:rsid w:val="0027590F"/>
    <w:rsid w:val="00276B35"/>
    <w:rsid w:val="00280FAD"/>
    <w:rsid w:val="002815B5"/>
    <w:rsid w:val="0028230E"/>
    <w:rsid w:val="0028254C"/>
    <w:rsid w:val="002864A9"/>
    <w:rsid w:val="002876CA"/>
    <w:rsid w:val="00292CE8"/>
    <w:rsid w:val="00295B8A"/>
    <w:rsid w:val="00296558"/>
    <w:rsid w:val="002A0AE1"/>
    <w:rsid w:val="002A1A4C"/>
    <w:rsid w:val="002A1D6C"/>
    <w:rsid w:val="002B3DD5"/>
    <w:rsid w:val="002B4458"/>
    <w:rsid w:val="002C4A52"/>
    <w:rsid w:val="002C5C9C"/>
    <w:rsid w:val="002C7BDA"/>
    <w:rsid w:val="002D321D"/>
    <w:rsid w:val="002D35FE"/>
    <w:rsid w:val="002D3B0A"/>
    <w:rsid w:val="002D4928"/>
    <w:rsid w:val="002D4A30"/>
    <w:rsid w:val="002D4A4C"/>
    <w:rsid w:val="002D575E"/>
    <w:rsid w:val="002D5DCE"/>
    <w:rsid w:val="002D76CA"/>
    <w:rsid w:val="002E02A5"/>
    <w:rsid w:val="002F2B9C"/>
    <w:rsid w:val="002F3F66"/>
    <w:rsid w:val="00302872"/>
    <w:rsid w:val="003100D1"/>
    <w:rsid w:val="00311E5A"/>
    <w:rsid w:val="0031219A"/>
    <w:rsid w:val="003123AD"/>
    <w:rsid w:val="0031384A"/>
    <w:rsid w:val="00315A1A"/>
    <w:rsid w:val="00315E4A"/>
    <w:rsid w:val="003201FE"/>
    <w:rsid w:val="00322135"/>
    <w:rsid w:val="00322DCE"/>
    <w:rsid w:val="0032498A"/>
    <w:rsid w:val="00326559"/>
    <w:rsid w:val="0032777B"/>
    <w:rsid w:val="00327BE7"/>
    <w:rsid w:val="00333F99"/>
    <w:rsid w:val="00334D5B"/>
    <w:rsid w:val="003358AE"/>
    <w:rsid w:val="00335C05"/>
    <w:rsid w:val="00337EFC"/>
    <w:rsid w:val="00345D73"/>
    <w:rsid w:val="00352DBE"/>
    <w:rsid w:val="00356135"/>
    <w:rsid w:val="00356C7F"/>
    <w:rsid w:val="0036171E"/>
    <w:rsid w:val="00361A99"/>
    <w:rsid w:val="00364755"/>
    <w:rsid w:val="00365296"/>
    <w:rsid w:val="00367783"/>
    <w:rsid w:val="00367C55"/>
    <w:rsid w:val="00370E86"/>
    <w:rsid w:val="003715FA"/>
    <w:rsid w:val="00371797"/>
    <w:rsid w:val="00373C17"/>
    <w:rsid w:val="00381005"/>
    <w:rsid w:val="0038225F"/>
    <w:rsid w:val="00385085"/>
    <w:rsid w:val="003853DF"/>
    <w:rsid w:val="003872C7"/>
    <w:rsid w:val="00391899"/>
    <w:rsid w:val="00392AED"/>
    <w:rsid w:val="003947FD"/>
    <w:rsid w:val="00395616"/>
    <w:rsid w:val="00396D31"/>
    <w:rsid w:val="003974A2"/>
    <w:rsid w:val="003A0BBA"/>
    <w:rsid w:val="003A3F1B"/>
    <w:rsid w:val="003A6513"/>
    <w:rsid w:val="003B2760"/>
    <w:rsid w:val="003B2A21"/>
    <w:rsid w:val="003B2EE3"/>
    <w:rsid w:val="003B5C79"/>
    <w:rsid w:val="003C1E09"/>
    <w:rsid w:val="003C6499"/>
    <w:rsid w:val="003D0309"/>
    <w:rsid w:val="003D0DA9"/>
    <w:rsid w:val="003D10AD"/>
    <w:rsid w:val="003D214E"/>
    <w:rsid w:val="003D7DD0"/>
    <w:rsid w:val="003F37B1"/>
    <w:rsid w:val="004010B7"/>
    <w:rsid w:val="00401560"/>
    <w:rsid w:val="004027DA"/>
    <w:rsid w:val="00403031"/>
    <w:rsid w:val="004034FC"/>
    <w:rsid w:val="00403E3E"/>
    <w:rsid w:val="004040B8"/>
    <w:rsid w:val="0040453E"/>
    <w:rsid w:val="00406080"/>
    <w:rsid w:val="0040653D"/>
    <w:rsid w:val="004069CE"/>
    <w:rsid w:val="00411B6D"/>
    <w:rsid w:val="0041235A"/>
    <w:rsid w:val="004129C9"/>
    <w:rsid w:val="00412E06"/>
    <w:rsid w:val="0041445E"/>
    <w:rsid w:val="0041449F"/>
    <w:rsid w:val="004155DD"/>
    <w:rsid w:val="00415636"/>
    <w:rsid w:val="0041623E"/>
    <w:rsid w:val="00420816"/>
    <w:rsid w:val="00424F32"/>
    <w:rsid w:val="0042526B"/>
    <w:rsid w:val="004262F0"/>
    <w:rsid w:val="004266D4"/>
    <w:rsid w:val="00426D96"/>
    <w:rsid w:val="0042770B"/>
    <w:rsid w:val="00430137"/>
    <w:rsid w:val="004350C3"/>
    <w:rsid w:val="004400F9"/>
    <w:rsid w:val="004422E4"/>
    <w:rsid w:val="0044417C"/>
    <w:rsid w:val="00451A24"/>
    <w:rsid w:val="00454276"/>
    <w:rsid w:val="00454613"/>
    <w:rsid w:val="004552B1"/>
    <w:rsid w:val="004634D3"/>
    <w:rsid w:val="004645E5"/>
    <w:rsid w:val="0046594C"/>
    <w:rsid w:val="00466AA6"/>
    <w:rsid w:val="00471B6D"/>
    <w:rsid w:val="00471FCC"/>
    <w:rsid w:val="004729EF"/>
    <w:rsid w:val="00472F79"/>
    <w:rsid w:val="00473AFF"/>
    <w:rsid w:val="00475081"/>
    <w:rsid w:val="0047593A"/>
    <w:rsid w:val="00475E2C"/>
    <w:rsid w:val="0047722C"/>
    <w:rsid w:val="004772AF"/>
    <w:rsid w:val="00480C32"/>
    <w:rsid w:val="00484487"/>
    <w:rsid w:val="0048489B"/>
    <w:rsid w:val="0048556B"/>
    <w:rsid w:val="00487CAD"/>
    <w:rsid w:val="00487CF7"/>
    <w:rsid w:val="0049354E"/>
    <w:rsid w:val="004972D0"/>
    <w:rsid w:val="004A3448"/>
    <w:rsid w:val="004A3485"/>
    <w:rsid w:val="004A354A"/>
    <w:rsid w:val="004A4FE8"/>
    <w:rsid w:val="004A5173"/>
    <w:rsid w:val="004A6A2B"/>
    <w:rsid w:val="004B3659"/>
    <w:rsid w:val="004B50B7"/>
    <w:rsid w:val="004B5D25"/>
    <w:rsid w:val="004B71F0"/>
    <w:rsid w:val="004D218F"/>
    <w:rsid w:val="004D3583"/>
    <w:rsid w:val="004D7C37"/>
    <w:rsid w:val="004E3B25"/>
    <w:rsid w:val="004E3F11"/>
    <w:rsid w:val="004E75FA"/>
    <w:rsid w:val="004F1A81"/>
    <w:rsid w:val="004F2BF7"/>
    <w:rsid w:val="004F4579"/>
    <w:rsid w:val="004F45A1"/>
    <w:rsid w:val="00502374"/>
    <w:rsid w:val="00502576"/>
    <w:rsid w:val="00503321"/>
    <w:rsid w:val="0050370F"/>
    <w:rsid w:val="005039CF"/>
    <w:rsid w:val="0050405E"/>
    <w:rsid w:val="00506220"/>
    <w:rsid w:val="00506E37"/>
    <w:rsid w:val="00507FC5"/>
    <w:rsid w:val="005129C3"/>
    <w:rsid w:val="005131BE"/>
    <w:rsid w:val="00513AF7"/>
    <w:rsid w:val="00514E49"/>
    <w:rsid w:val="00515EA2"/>
    <w:rsid w:val="0052013E"/>
    <w:rsid w:val="0052057C"/>
    <w:rsid w:val="0052122B"/>
    <w:rsid w:val="005217BF"/>
    <w:rsid w:val="00521C98"/>
    <w:rsid w:val="0052390F"/>
    <w:rsid w:val="0052434A"/>
    <w:rsid w:val="0053442F"/>
    <w:rsid w:val="005372CB"/>
    <w:rsid w:val="0054083E"/>
    <w:rsid w:val="0054148B"/>
    <w:rsid w:val="005414FA"/>
    <w:rsid w:val="00541B43"/>
    <w:rsid w:val="00541BFA"/>
    <w:rsid w:val="005432BC"/>
    <w:rsid w:val="00543543"/>
    <w:rsid w:val="00546B1C"/>
    <w:rsid w:val="00546EDA"/>
    <w:rsid w:val="0055198C"/>
    <w:rsid w:val="00555CF6"/>
    <w:rsid w:val="0057179B"/>
    <w:rsid w:val="0057423C"/>
    <w:rsid w:val="00584A58"/>
    <w:rsid w:val="005854A5"/>
    <w:rsid w:val="00586087"/>
    <w:rsid w:val="00586C0D"/>
    <w:rsid w:val="0058723A"/>
    <w:rsid w:val="00592DCD"/>
    <w:rsid w:val="00594379"/>
    <w:rsid w:val="005956E2"/>
    <w:rsid w:val="00597F22"/>
    <w:rsid w:val="005A1A3C"/>
    <w:rsid w:val="005A3C62"/>
    <w:rsid w:val="005A4715"/>
    <w:rsid w:val="005A6A84"/>
    <w:rsid w:val="005A7611"/>
    <w:rsid w:val="005B0F91"/>
    <w:rsid w:val="005B417F"/>
    <w:rsid w:val="005B5AFA"/>
    <w:rsid w:val="005B64A1"/>
    <w:rsid w:val="005B6D66"/>
    <w:rsid w:val="005B707E"/>
    <w:rsid w:val="005C02F3"/>
    <w:rsid w:val="005C2A58"/>
    <w:rsid w:val="005C668B"/>
    <w:rsid w:val="005D046F"/>
    <w:rsid w:val="005D0706"/>
    <w:rsid w:val="005D1F0E"/>
    <w:rsid w:val="005D282F"/>
    <w:rsid w:val="005D3B28"/>
    <w:rsid w:val="005D4209"/>
    <w:rsid w:val="005D44CE"/>
    <w:rsid w:val="005D6B53"/>
    <w:rsid w:val="005E0141"/>
    <w:rsid w:val="005E1F05"/>
    <w:rsid w:val="005E4904"/>
    <w:rsid w:val="005E4B97"/>
    <w:rsid w:val="005E518A"/>
    <w:rsid w:val="005E62E5"/>
    <w:rsid w:val="005E757A"/>
    <w:rsid w:val="005F3B1E"/>
    <w:rsid w:val="005F4E33"/>
    <w:rsid w:val="00601158"/>
    <w:rsid w:val="0060385F"/>
    <w:rsid w:val="0060488E"/>
    <w:rsid w:val="00606954"/>
    <w:rsid w:val="00613652"/>
    <w:rsid w:val="00613EA6"/>
    <w:rsid w:val="006148EE"/>
    <w:rsid w:val="00617676"/>
    <w:rsid w:val="006224DB"/>
    <w:rsid w:val="00623FBE"/>
    <w:rsid w:val="0062400D"/>
    <w:rsid w:val="006244B6"/>
    <w:rsid w:val="006251D9"/>
    <w:rsid w:val="006277A1"/>
    <w:rsid w:val="00631B17"/>
    <w:rsid w:val="00634477"/>
    <w:rsid w:val="006354CA"/>
    <w:rsid w:val="00635BAA"/>
    <w:rsid w:val="00635E86"/>
    <w:rsid w:val="00636D1E"/>
    <w:rsid w:val="00637729"/>
    <w:rsid w:val="006410B9"/>
    <w:rsid w:val="00646368"/>
    <w:rsid w:val="00653EBB"/>
    <w:rsid w:val="00656970"/>
    <w:rsid w:val="00657F93"/>
    <w:rsid w:val="00660BF4"/>
    <w:rsid w:val="00660FC9"/>
    <w:rsid w:val="006623B8"/>
    <w:rsid w:val="0066251C"/>
    <w:rsid w:val="00664D98"/>
    <w:rsid w:val="00666542"/>
    <w:rsid w:val="0067089F"/>
    <w:rsid w:val="00671848"/>
    <w:rsid w:val="00673627"/>
    <w:rsid w:val="00674E77"/>
    <w:rsid w:val="00676166"/>
    <w:rsid w:val="006769F0"/>
    <w:rsid w:val="0067793F"/>
    <w:rsid w:val="00682A3A"/>
    <w:rsid w:val="0068339A"/>
    <w:rsid w:val="006848E8"/>
    <w:rsid w:val="00684BCB"/>
    <w:rsid w:val="0068501A"/>
    <w:rsid w:val="00685E47"/>
    <w:rsid w:val="00685E82"/>
    <w:rsid w:val="00686752"/>
    <w:rsid w:val="00686F51"/>
    <w:rsid w:val="00687A37"/>
    <w:rsid w:val="00690EEB"/>
    <w:rsid w:val="00691283"/>
    <w:rsid w:val="0069390D"/>
    <w:rsid w:val="006953FF"/>
    <w:rsid w:val="006957E4"/>
    <w:rsid w:val="00697002"/>
    <w:rsid w:val="006A26CB"/>
    <w:rsid w:val="006A3C0A"/>
    <w:rsid w:val="006A4C4B"/>
    <w:rsid w:val="006A574F"/>
    <w:rsid w:val="006A6CF7"/>
    <w:rsid w:val="006B30CB"/>
    <w:rsid w:val="006B36BC"/>
    <w:rsid w:val="006B4024"/>
    <w:rsid w:val="006B5C4B"/>
    <w:rsid w:val="006B5C8B"/>
    <w:rsid w:val="006B675E"/>
    <w:rsid w:val="006B7358"/>
    <w:rsid w:val="006C032F"/>
    <w:rsid w:val="006C182A"/>
    <w:rsid w:val="006C1E70"/>
    <w:rsid w:val="006C30CF"/>
    <w:rsid w:val="006C3359"/>
    <w:rsid w:val="006C3BD7"/>
    <w:rsid w:val="006C5578"/>
    <w:rsid w:val="006C6672"/>
    <w:rsid w:val="006D00CC"/>
    <w:rsid w:val="006D2893"/>
    <w:rsid w:val="006D4289"/>
    <w:rsid w:val="006D5F4E"/>
    <w:rsid w:val="006E03B5"/>
    <w:rsid w:val="006E1602"/>
    <w:rsid w:val="006E414E"/>
    <w:rsid w:val="006E4291"/>
    <w:rsid w:val="006E546A"/>
    <w:rsid w:val="006E7600"/>
    <w:rsid w:val="006E7F7B"/>
    <w:rsid w:val="006F02B4"/>
    <w:rsid w:val="006F1426"/>
    <w:rsid w:val="006F44E9"/>
    <w:rsid w:val="006F5986"/>
    <w:rsid w:val="006F5F49"/>
    <w:rsid w:val="006F6E3D"/>
    <w:rsid w:val="006F764A"/>
    <w:rsid w:val="0070018A"/>
    <w:rsid w:val="00700235"/>
    <w:rsid w:val="00705EB4"/>
    <w:rsid w:val="007105B1"/>
    <w:rsid w:val="00711D1C"/>
    <w:rsid w:val="0071245C"/>
    <w:rsid w:val="00712FB7"/>
    <w:rsid w:val="00713620"/>
    <w:rsid w:val="007178FD"/>
    <w:rsid w:val="00717DE9"/>
    <w:rsid w:val="00721EAB"/>
    <w:rsid w:val="00723FE0"/>
    <w:rsid w:val="0072458D"/>
    <w:rsid w:val="0072673F"/>
    <w:rsid w:val="007339E3"/>
    <w:rsid w:val="00734839"/>
    <w:rsid w:val="00736634"/>
    <w:rsid w:val="00736846"/>
    <w:rsid w:val="00736FE5"/>
    <w:rsid w:val="0073787D"/>
    <w:rsid w:val="0074033F"/>
    <w:rsid w:val="00741153"/>
    <w:rsid w:val="00742F19"/>
    <w:rsid w:val="00744039"/>
    <w:rsid w:val="00744E94"/>
    <w:rsid w:val="00751C72"/>
    <w:rsid w:val="0075612C"/>
    <w:rsid w:val="0075648C"/>
    <w:rsid w:val="00757262"/>
    <w:rsid w:val="007615EF"/>
    <w:rsid w:val="007629B1"/>
    <w:rsid w:val="00764F7F"/>
    <w:rsid w:val="00765254"/>
    <w:rsid w:val="00770B32"/>
    <w:rsid w:val="00771DDD"/>
    <w:rsid w:val="00771F42"/>
    <w:rsid w:val="00773204"/>
    <w:rsid w:val="0077786C"/>
    <w:rsid w:val="00787810"/>
    <w:rsid w:val="00787E4B"/>
    <w:rsid w:val="00794198"/>
    <w:rsid w:val="0079540D"/>
    <w:rsid w:val="00795763"/>
    <w:rsid w:val="007959E6"/>
    <w:rsid w:val="0079697E"/>
    <w:rsid w:val="007A017E"/>
    <w:rsid w:val="007A2217"/>
    <w:rsid w:val="007A2223"/>
    <w:rsid w:val="007B1262"/>
    <w:rsid w:val="007B310E"/>
    <w:rsid w:val="007B5488"/>
    <w:rsid w:val="007B65F6"/>
    <w:rsid w:val="007C1FED"/>
    <w:rsid w:val="007C5BEE"/>
    <w:rsid w:val="007C6FC4"/>
    <w:rsid w:val="007C764D"/>
    <w:rsid w:val="007D0235"/>
    <w:rsid w:val="007D0324"/>
    <w:rsid w:val="007D27F9"/>
    <w:rsid w:val="007D3621"/>
    <w:rsid w:val="007D38B7"/>
    <w:rsid w:val="007D39D7"/>
    <w:rsid w:val="007D7772"/>
    <w:rsid w:val="007D7F27"/>
    <w:rsid w:val="007E2B47"/>
    <w:rsid w:val="007E44B8"/>
    <w:rsid w:val="007E573C"/>
    <w:rsid w:val="007E713E"/>
    <w:rsid w:val="007E75CA"/>
    <w:rsid w:val="007E7738"/>
    <w:rsid w:val="007E77DD"/>
    <w:rsid w:val="007E7A0A"/>
    <w:rsid w:val="007F1AC8"/>
    <w:rsid w:val="007F587E"/>
    <w:rsid w:val="007F6732"/>
    <w:rsid w:val="00800AE4"/>
    <w:rsid w:val="00803D62"/>
    <w:rsid w:val="0080433A"/>
    <w:rsid w:val="00806E23"/>
    <w:rsid w:val="0081004D"/>
    <w:rsid w:val="00812AC7"/>
    <w:rsid w:val="00815CDA"/>
    <w:rsid w:val="00820D85"/>
    <w:rsid w:val="008254A9"/>
    <w:rsid w:val="0082635E"/>
    <w:rsid w:val="00826B07"/>
    <w:rsid w:val="008304AA"/>
    <w:rsid w:val="0083216D"/>
    <w:rsid w:val="008327CF"/>
    <w:rsid w:val="008341F9"/>
    <w:rsid w:val="0084005F"/>
    <w:rsid w:val="00841284"/>
    <w:rsid w:val="00841676"/>
    <w:rsid w:val="00841812"/>
    <w:rsid w:val="0084240A"/>
    <w:rsid w:val="00844E9C"/>
    <w:rsid w:val="00845B5B"/>
    <w:rsid w:val="00845BE0"/>
    <w:rsid w:val="00845C61"/>
    <w:rsid w:val="008466D9"/>
    <w:rsid w:val="00847235"/>
    <w:rsid w:val="00851215"/>
    <w:rsid w:val="008527C6"/>
    <w:rsid w:val="00853DBF"/>
    <w:rsid w:val="008564BE"/>
    <w:rsid w:val="0085710F"/>
    <w:rsid w:val="00857CE6"/>
    <w:rsid w:val="008605E7"/>
    <w:rsid w:val="00860AC6"/>
    <w:rsid w:val="00860C86"/>
    <w:rsid w:val="00860E2E"/>
    <w:rsid w:val="0086113C"/>
    <w:rsid w:val="008659A6"/>
    <w:rsid w:val="00866584"/>
    <w:rsid w:val="00867CB4"/>
    <w:rsid w:val="00873166"/>
    <w:rsid w:val="0087327A"/>
    <w:rsid w:val="00873DAD"/>
    <w:rsid w:val="00875538"/>
    <w:rsid w:val="008779E7"/>
    <w:rsid w:val="008861EA"/>
    <w:rsid w:val="00886364"/>
    <w:rsid w:val="00886F30"/>
    <w:rsid w:val="008876AC"/>
    <w:rsid w:val="00887B00"/>
    <w:rsid w:val="008922D1"/>
    <w:rsid w:val="00893357"/>
    <w:rsid w:val="00896760"/>
    <w:rsid w:val="008A1A6E"/>
    <w:rsid w:val="008A5A1A"/>
    <w:rsid w:val="008A7010"/>
    <w:rsid w:val="008B1180"/>
    <w:rsid w:val="008B369F"/>
    <w:rsid w:val="008B3F23"/>
    <w:rsid w:val="008B3F54"/>
    <w:rsid w:val="008B4351"/>
    <w:rsid w:val="008B451B"/>
    <w:rsid w:val="008B5130"/>
    <w:rsid w:val="008B622B"/>
    <w:rsid w:val="008B6885"/>
    <w:rsid w:val="008D6405"/>
    <w:rsid w:val="008E0712"/>
    <w:rsid w:val="008E3350"/>
    <w:rsid w:val="008E3D5F"/>
    <w:rsid w:val="008E3F23"/>
    <w:rsid w:val="008E5932"/>
    <w:rsid w:val="008E66DB"/>
    <w:rsid w:val="008F0BAE"/>
    <w:rsid w:val="008F6733"/>
    <w:rsid w:val="008F6FC2"/>
    <w:rsid w:val="008F745C"/>
    <w:rsid w:val="008F7AB0"/>
    <w:rsid w:val="0090092F"/>
    <w:rsid w:val="00900B04"/>
    <w:rsid w:val="00903EA6"/>
    <w:rsid w:val="0090693B"/>
    <w:rsid w:val="00907886"/>
    <w:rsid w:val="00910158"/>
    <w:rsid w:val="00911A23"/>
    <w:rsid w:val="0091333A"/>
    <w:rsid w:val="00915AB5"/>
    <w:rsid w:val="00924ACA"/>
    <w:rsid w:val="00925AC9"/>
    <w:rsid w:val="00927531"/>
    <w:rsid w:val="00931B39"/>
    <w:rsid w:val="00932E88"/>
    <w:rsid w:val="00933102"/>
    <w:rsid w:val="0093435C"/>
    <w:rsid w:val="00934F60"/>
    <w:rsid w:val="00935A56"/>
    <w:rsid w:val="00935CBA"/>
    <w:rsid w:val="00943017"/>
    <w:rsid w:val="00944496"/>
    <w:rsid w:val="00944E9A"/>
    <w:rsid w:val="00946C3F"/>
    <w:rsid w:val="00947637"/>
    <w:rsid w:val="009501DB"/>
    <w:rsid w:val="0095104C"/>
    <w:rsid w:val="009522BC"/>
    <w:rsid w:val="00953F63"/>
    <w:rsid w:val="00954094"/>
    <w:rsid w:val="0095480C"/>
    <w:rsid w:val="00955796"/>
    <w:rsid w:val="00964ED7"/>
    <w:rsid w:val="009660C6"/>
    <w:rsid w:val="0097487B"/>
    <w:rsid w:val="009773A4"/>
    <w:rsid w:val="00977D9A"/>
    <w:rsid w:val="00983D50"/>
    <w:rsid w:val="00984322"/>
    <w:rsid w:val="009849E9"/>
    <w:rsid w:val="00986FCE"/>
    <w:rsid w:val="00987BD6"/>
    <w:rsid w:val="009907CD"/>
    <w:rsid w:val="00990CF4"/>
    <w:rsid w:val="009934E1"/>
    <w:rsid w:val="009A15EE"/>
    <w:rsid w:val="009A1EAB"/>
    <w:rsid w:val="009A2C06"/>
    <w:rsid w:val="009A2EC9"/>
    <w:rsid w:val="009A44AC"/>
    <w:rsid w:val="009A4AD3"/>
    <w:rsid w:val="009A5EC7"/>
    <w:rsid w:val="009B086B"/>
    <w:rsid w:val="009B0EBA"/>
    <w:rsid w:val="009B6D69"/>
    <w:rsid w:val="009B7BF4"/>
    <w:rsid w:val="009C39ED"/>
    <w:rsid w:val="009C4336"/>
    <w:rsid w:val="009C5961"/>
    <w:rsid w:val="009C5F6F"/>
    <w:rsid w:val="009C709A"/>
    <w:rsid w:val="009C75EE"/>
    <w:rsid w:val="009D1368"/>
    <w:rsid w:val="009D1449"/>
    <w:rsid w:val="009D1906"/>
    <w:rsid w:val="009D21F4"/>
    <w:rsid w:val="009D4013"/>
    <w:rsid w:val="009D634A"/>
    <w:rsid w:val="009D67AD"/>
    <w:rsid w:val="009E20D1"/>
    <w:rsid w:val="009E3640"/>
    <w:rsid w:val="009F10C2"/>
    <w:rsid w:val="009F1EA1"/>
    <w:rsid w:val="009F2C05"/>
    <w:rsid w:val="009F3DE0"/>
    <w:rsid w:val="009F40B6"/>
    <w:rsid w:val="009F4B6B"/>
    <w:rsid w:val="009F4BA6"/>
    <w:rsid w:val="009F5C4B"/>
    <w:rsid w:val="009F69DE"/>
    <w:rsid w:val="009F7D0A"/>
    <w:rsid w:val="00A00F19"/>
    <w:rsid w:val="00A01E6D"/>
    <w:rsid w:val="00A0246C"/>
    <w:rsid w:val="00A032F4"/>
    <w:rsid w:val="00A03585"/>
    <w:rsid w:val="00A06EBA"/>
    <w:rsid w:val="00A12C7F"/>
    <w:rsid w:val="00A12CFE"/>
    <w:rsid w:val="00A14C10"/>
    <w:rsid w:val="00A14F44"/>
    <w:rsid w:val="00A15D53"/>
    <w:rsid w:val="00A17290"/>
    <w:rsid w:val="00A179E6"/>
    <w:rsid w:val="00A207C6"/>
    <w:rsid w:val="00A2185B"/>
    <w:rsid w:val="00A21941"/>
    <w:rsid w:val="00A21D2C"/>
    <w:rsid w:val="00A21D97"/>
    <w:rsid w:val="00A22B2E"/>
    <w:rsid w:val="00A24748"/>
    <w:rsid w:val="00A32C15"/>
    <w:rsid w:val="00A36C2A"/>
    <w:rsid w:val="00A37058"/>
    <w:rsid w:val="00A37722"/>
    <w:rsid w:val="00A4210B"/>
    <w:rsid w:val="00A44D8F"/>
    <w:rsid w:val="00A44E51"/>
    <w:rsid w:val="00A45CB7"/>
    <w:rsid w:val="00A46416"/>
    <w:rsid w:val="00A46B37"/>
    <w:rsid w:val="00A50BDE"/>
    <w:rsid w:val="00A52AB0"/>
    <w:rsid w:val="00A54FD3"/>
    <w:rsid w:val="00A5794E"/>
    <w:rsid w:val="00A579FC"/>
    <w:rsid w:val="00A6044E"/>
    <w:rsid w:val="00A60E97"/>
    <w:rsid w:val="00A65031"/>
    <w:rsid w:val="00A6520F"/>
    <w:rsid w:val="00A6541B"/>
    <w:rsid w:val="00A713AC"/>
    <w:rsid w:val="00A721A2"/>
    <w:rsid w:val="00A72501"/>
    <w:rsid w:val="00A72514"/>
    <w:rsid w:val="00A76D29"/>
    <w:rsid w:val="00A776F1"/>
    <w:rsid w:val="00A77A1D"/>
    <w:rsid w:val="00A8295C"/>
    <w:rsid w:val="00A85C7E"/>
    <w:rsid w:val="00A868DE"/>
    <w:rsid w:val="00A91D45"/>
    <w:rsid w:val="00A92C63"/>
    <w:rsid w:val="00A93517"/>
    <w:rsid w:val="00A95CFA"/>
    <w:rsid w:val="00A96A41"/>
    <w:rsid w:val="00A97A9A"/>
    <w:rsid w:val="00A97D4C"/>
    <w:rsid w:val="00AA137E"/>
    <w:rsid w:val="00AA2374"/>
    <w:rsid w:val="00AA2892"/>
    <w:rsid w:val="00AA7424"/>
    <w:rsid w:val="00AB0C3D"/>
    <w:rsid w:val="00AB0DCE"/>
    <w:rsid w:val="00AB4A3D"/>
    <w:rsid w:val="00AB571A"/>
    <w:rsid w:val="00AB5CBC"/>
    <w:rsid w:val="00AB76B8"/>
    <w:rsid w:val="00AC2408"/>
    <w:rsid w:val="00AC337E"/>
    <w:rsid w:val="00AC6CCA"/>
    <w:rsid w:val="00AD0C2A"/>
    <w:rsid w:val="00AD2C88"/>
    <w:rsid w:val="00AD3329"/>
    <w:rsid w:val="00AD55D9"/>
    <w:rsid w:val="00AD63CC"/>
    <w:rsid w:val="00AD7B13"/>
    <w:rsid w:val="00AE04FF"/>
    <w:rsid w:val="00AE0CDA"/>
    <w:rsid w:val="00AE2E7E"/>
    <w:rsid w:val="00AE3E16"/>
    <w:rsid w:val="00AE4C72"/>
    <w:rsid w:val="00AE5FDB"/>
    <w:rsid w:val="00AE601A"/>
    <w:rsid w:val="00AE615F"/>
    <w:rsid w:val="00AF009F"/>
    <w:rsid w:val="00AF0189"/>
    <w:rsid w:val="00AF11E6"/>
    <w:rsid w:val="00AF1A89"/>
    <w:rsid w:val="00AF219F"/>
    <w:rsid w:val="00AF2241"/>
    <w:rsid w:val="00AF3530"/>
    <w:rsid w:val="00AF7163"/>
    <w:rsid w:val="00AF75B2"/>
    <w:rsid w:val="00AF7B81"/>
    <w:rsid w:val="00B02500"/>
    <w:rsid w:val="00B02D88"/>
    <w:rsid w:val="00B055A5"/>
    <w:rsid w:val="00B10BE8"/>
    <w:rsid w:val="00B10DCB"/>
    <w:rsid w:val="00B1126D"/>
    <w:rsid w:val="00B12703"/>
    <w:rsid w:val="00B13013"/>
    <w:rsid w:val="00B13563"/>
    <w:rsid w:val="00B16C19"/>
    <w:rsid w:val="00B208C9"/>
    <w:rsid w:val="00B22DA0"/>
    <w:rsid w:val="00B23463"/>
    <w:rsid w:val="00B31BFC"/>
    <w:rsid w:val="00B337E1"/>
    <w:rsid w:val="00B374A5"/>
    <w:rsid w:val="00B40933"/>
    <w:rsid w:val="00B449B6"/>
    <w:rsid w:val="00B4547D"/>
    <w:rsid w:val="00B45978"/>
    <w:rsid w:val="00B45C77"/>
    <w:rsid w:val="00B507BB"/>
    <w:rsid w:val="00B549BD"/>
    <w:rsid w:val="00B55110"/>
    <w:rsid w:val="00B57F8D"/>
    <w:rsid w:val="00B6028F"/>
    <w:rsid w:val="00B63EB2"/>
    <w:rsid w:val="00B657CE"/>
    <w:rsid w:val="00B67274"/>
    <w:rsid w:val="00B67CEA"/>
    <w:rsid w:val="00B7175E"/>
    <w:rsid w:val="00B72105"/>
    <w:rsid w:val="00B72188"/>
    <w:rsid w:val="00B725E2"/>
    <w:rsid w:val="00B75E77"/>
    <w:rsid w:val="00B77998"/>
    <w:rsid w:val="00B81173"/>
    <w:rsid w:val="00B8267A"/>
    <w:rsid w:val="00B87ABC"/>
    <w:rsid w:val="00B90DC0"/>
    <w:rsid w:val="00B91297"/>
    <w:rsid w:val="00B91F3C"/>
    <w:rsid w:val="00B9423F"/>
    <w:rsid w:val="00B9449C"/>
    <w:rsid w:val="00B96F8E"/>
    <w:rsid w:val="00BA1617"/>
    <w:rsid w:val="00BA240C"/>
    <w:rsid w:val="00BA3D9E"/>
    <w:rsid w:val="00BB0FD1"/>
    <w:rsid w:val="00BB1949"/>
    <w:rsid w:val="00BB2011"/>
    <w:rsid w:val="00BB3DA7"/>
    <w:rsid w:val="00BB4ED6"/>
    <w:rsid w:val="00BB7A06"/>
    <w:rsid w:val="00BB7CDD"/>
    <w:rsid w:val="00BB7E19"/>
    <w:rsid w:val="00BC36C2"/>
    <w:rsid w:val="00BC5130"/>
    <w:rsid w:val="00BC552E"/>
    <w:rsid w:val="00BC6B9F"/>
    <w:rsid w:val="00BC6E8A"/>
    <w:rsid w:val="00BC7C38"/>
    <w:rsid w:val="00BD40F8"/>
    <w:rsid w:val="00BD437E"/>
    <w:rsid w:val="00BE0013"/>
    <w:rsid w:val="00BE0A79"/>
    <w:rsid w:val="00BE4FDD"/>
    <w:rsid w:val="00BE5CA0"/>
    <w:rsid w:val="00BE6241"/>
    <w:rsid w:val="00BE660B"/>
    <w:rsid w:val="00BE725A"/>
    <w:rsid w:val="00BF1349"/>
    <w:rsid w:val="00BF160E"/>
    <w:rsid w:val="00BF45B1"/>
    <w:rsid w:val="00BF5316"/>
    <w:rsid w:val="00BF5CFD"/>
    <w:rsid w:val="00BF685C"/>
    <w:rsid w:val="00C0016B"/>
    <w:rsid w:val="00C03AEE"/>
    <w:rsid w:val="00C04EC5"/>
    <w:rsid w:val="00C05930"/>
    <w:rsid w:val="00C0621C"/>
    <w:rsid w:val="00C06CB4"/>
    <w:rsid w:val="00C10FB9"/>
    <w:rsid w:val="00C11E52"/>
    <w:rsid w:val="00C15167"/>
    <w:rsid w:val="00C172BE"/>
    <w:rsid w:val="00C17463"/>
    <w:rsid w:val="00C23AD4"/>
    <w:rsid w:val="00C25FA5"/>
    <w:rsid w:val="00C317BC"/>
    <w:rsid w:val="00C318C7"/>
    <w:rsid w:val="00C32036"/>
    <w:rsid w:val="00C32234"/>
    <w:rsid w:val="00C35919"/>
    <w:rsid w:val="00C371CB"/>
    <w:rsid w:val="00C40E8F"/>
    <w:rsid w:val="00C41CDE"/>
    <w:rsid w:val="00C4688A"/>
    <w:rsid w:val="00C46C71"/>
    <w:rsid w:val="00C51917"/>
    <w:rsid w:val="00C53E1B"/>
    <w:rsid w:val="00C548C1"/>
    <w:rsid w:val="00C54F68"/>
    <w:rsid w:val="00C60313"/>
    <w:rsid w:val="00C62714"/>
    <w:rsid w:val="00C62C3C"/>
    <w:rsid w:val="00C65BDA"/>
    <w:rsid w:val="00C66D68"/>
    <w:rsid w:val="00C7069F"/>
    <w:rsid w:val="00C73E61"/>
    <w:rsid w:val="00C75D59"/>
    <w:rsid w:val="00C760E3"/>
    <w:rsid w:val="00C763A5"/>
    <w:rsid w:val="00C83BBD"/>
    <w:rsid w:val="00C84A37"/>
    <w:rsid w:val="00C86690"/>
    <w:rsid w:val="00C87821"/>
    <w:rsid w:val="00C902F5"/>
    <w:rsid w:val="00C9079F"/>
    <w:rsid w:val="00C91239"/>
    <w:rsid w:val="00C94417"/>
    <w:rsid w:val="00C94FF7"/>
    <w:rsid w:val="00C9515A"/>
    <w:rsid w:val="00C95320"/>
    <w:rsid w:val="00C957CB"/>
    <w:rsid w:val="00CA3A01"/>
    <w:rsid w:val="00CA3AC4"/>
    <w:rsid w:val="00CA5A98"/>
    <w:rsid w:val="00CA66D1"/>
    <w:rsid w:val="00CA750F"/>
    <w:rsid w:val="00CB06E7"/>
    <w:rsid w:val="00CB18C7"/>
    <w:rsid w:val="00CB2A6B"/>
    <w:rsid w:val="00CB2A7D"/>
    <w:rsid w:val="00CB5192"/>
    <w:rsid w:val="00CB65A6"/>
    <w:rsid w:val="00CB74F9"/>
    <w:rsid w:val="00CB7B8A"/>
    <w:rsid w:val="00CC13DA"/>
    <w:rsid w:val="00CC4829"/>
    <w:rsid w:val="00CC4E62"/>
    <w:rsid w:val="00CC6097"/>
    <w:rsid w:val="00CC6F76"/>
    <w:rsid w:val="00CC7053"/>
    <w:rsid w:val="00CC79A7"/>
    <w:rsid w:val="00CC7B58"/>
    <w:rsid w:val="00CD041C"/>
    <w:rsid w:val="00CD2F16"/>
    <w:rsid w:val="00CD5B29"/>
    <w:rsid w:val="00CD7C1E"/>
    <w:rsid w:val="00CD7DE7"/>
    <w:rsid w:val="00CE05CE"/>
    <w:rsid w:val="00CE116C"/>
    <w:rsid w:val="00CE274C"/>
    <w:rsid w:val="00CF0A42"/>
    <w:rsid w:val="00CF0F68"/>
    <w:rsid w:val="00CF287E"/>
    <w:rsid w:val="00CF5EDE"/>
    <w:rsid w:val="00CF617F"/>
    <w:rsid w:val="00CF7820"/>
    <w:rsid w:val="00D009B6"/>
    <w:rsid w:val="00D00F89"/>
    <w:rsid w:val="00D016A9"/>
    <w:rsid w:val="00D01A65"/>
    <w:rsid w:val="00D020EA"/>
    <w:rsid w:val="00D02F68"/>
    <w:rsid w:val="00D05BD6"/>
    <w:rsid w:val="00D0703C"/>
    <w:rsid w:val="00D077ED"/>
    <w:rsid w:val="00D12789"/>
    <w:rsid w:val="00D17F78"/>
    <w:rsid w:val="00D21A63"/>
    <w:rsid w:val="00D2222D"/>
    <w:rsid w:val="00D2455C"/>
    <w:rsid w:val="00D25975"/>
    <w:rsid w:val="00D30B02"/>
    <w:rsid w:val="00D328F1"/>
    <w:rsid w:val="00D33A90"/>
    <w:rsid w:val="00D42496"/>
    <w:rsid w:val="00D43F10"/>
    <w:rsid w:val="00D4483D"/>
    <w:rsid w:val="00D44D9C"/>
    <w:rsid w:val="00D53555"/>
    <w:rsid w:val="00D53B6D"/>
    <w:rsid w:val="00D54158"/>
    <w:rsid w:val="00D56871"/>
    <w:rsid w:val="00D57868"/>
    <w:rsid w:val="00D609C4"/>
    <w:rsid w:val="00D622E3"/>
    <w:rsid w:val="00D62B67"/>
    <w:rsid w:val="00D62EEE"/>
    <w:rsid w:val="00D63FE5"/>
    <w:rsid w:val="00D73649"/>
    <w:rsid w:val="00D75376"/>
    <w:rsid w:val="00D755A9"/>
    <w:rsid w:val="00D7561F"/>
    <w:rsid w:val="00D75F51"/>
    <w:rsid w:val="00D80C81"/>
    <w:rsid w:val="00D81992"/>
    <w:rsid w:val="00D833E6"/>
    <w:rsid w:val="00D8388D"/>
    <w:rsid w:val="00D83EC9"/>
    <w:rsid w:val="00D84261"/>
    <w:rsid w:val="00D8470E"/>
    <w:rsid w:val="00D84B23"/>
    <w:rsid w:val="00D93AEF"/>
    <w:rsid w:val="00D96128"/>
    <w:rsid w:val="00D97650"/>
    <w:rsid w:val="00DA0648"/>
    <w:rsid w:val="00DA35FB"/>
    <w:rsid w:val="00DA4464"/>
    <w:rsid w:val="00DA4B07"/>
    <w:rsid w:val="00DA5C96"/>
    <w:rsid w:val="00DB064E"/>
    <w:rsid w:val="00DB0F25"/>
    <w:rsid w:val="00DB1800"/>
    <w:rsid w:val="00DB1A7D"/>
    <w:rsid w:val="00DB5242"/>
    <w:rsid w:val="00DB6228"/>
    <w:rsid w:val="00DC3702"/>
    <w:rsid w:val="00DC440C"/>
    <w:rsid w:val="00DC587B"/>
    <w:rsid w:val="00DC7BC3"/>
    <w:rsid w:val="00DD3DE9"/>
    <w:rsid w:val="00DD72C6"/>
    <w:rsid w:val="00DE0AB3"/>
    <w:rsid w:val="00DE0BF3"/>
    <w:rsid w:val="00DE0DBD"/>
    <w:rsid w:val="00DE346A"/>
    <w:rsid w:val="00DE3BF8"/>
    <w:rsid w:val="00DE3E81"/>
    <w:rsid w:val="00DE7BF2"/>
    <w:rsid w:val="00DF0F62"/>
    <w:rsid w:val="00DF5E9D"/>
    <w:rsid w:val="00DF745F"/>
    <w:rsid w:val="00DF7D64"/>
    <w:rsid w:val="00E0056B"/>
    <w:rsid w:val="00E027FB"/>
    <w:rsid w:val="00E02E1C"/>
    <w:rsid w:val="00E03FB9"/>
    <w:rsid w:val="00E127AB"/>
    <w:rsid w:val="00E2308A"/>
    <w:rsid w:val="00E2486E"/>
    <w:rsid w:val="00E27914"/>
    <w:rsid w:val="00E305B7"/>
    <w:rsid w:val="00E31548"/>
    <w:rsid w:val="00E33A05"/>
    <w:rsid w:val="00E35F0D"/>
    <w:rsid w:val="00E36800"/>
    <w:rsid w:val="00E379B2"/>
    <w:rsid w:val="00E44CB7"/>
    <w:rsid w:val="00E5001F"/>
    <w:rsid w:val="00E51ADB"/>
    <w:rsid w:val="00E51D8E"/>
    <w:rsid w:val="00E535ED"/>
    <w:rsid w:val="00E57B8E"/>
    <w:rsid w:val="00E60232"/>
    <w:rsid w:val="00E63513"/>
    <w:rsid w:val="00E70058"/>
    <w:rsid w:val="00E7422B"/>
    <w:rsid w:val="00E75763"/>
    <w:rsid w:val="00E76E57"/>
    <w:rsid w:val="00E80090"/>
    <w:rsid w:val="00E80179"/>
    <w:rsid w:val="00E806FD"/>
    <w:rsid w:val="00E81077"/>
    <w:rsid w:val="00E857DE"/>
    <w:rsid w:val="00E870BD"/>
    <w:rsid w:val="00E871C5"/>
    <w:rsid w:val="00E96942"/>
    <w:rsid w:val="00E96D07"/>
    <w:rsid w:val="00E974DB"/>
    <w:rsid w:val="00EA0002"/>
    <w:rsid w:val="00EA2E21"/>
    <w:rsid w:val="00EA3181"/>
    <w:rsid w:val="00EA3F29"/>
    <w:rsid w:val="00EA499F"/>
    <w:rsid w:val="00EA6262"/>
    <w:rsid w:val="00EB117C"/>
    <w:rsid w:val="00EB4630"/>
    <w:rsid w:val="00EB7975"/>
    <w:rsid w:val="00EC05CD"/>
    <w:rsid w:val="00EC222F"/>
    <w:rsid w:val="00EC30DF"/>
    <w:rsid w:val="00EC3950"/>
    <w:rsid w:val="00EC787E"/>
    <w:rsid w:val="00ED083E"/>
    <w:rsid w:val="00ED293D"/>
    <w:rsid w:val="00ED3BD8"/>
    <w:rsid w:val="00ED3C74"/>
    <w:rsid w:val="00ED71C6"/>
    <w:rsid w:val="00EE084A"/>
    <w:rsid w:val="00EE3AFB"/>
    <w:rsid w:val="00EE3F8A"/>
    <w:rsid w:val="00EE45EA"/>
    <w:rsid w:val="00EF579C"/>
    <w:rsid w:val="00EF5EB9"/>
    <w:rsid w:val="00EF7305"/>
    <w:rsid w:val="00F0229E"/>
    <w:rsid w:val="00F0292A"/>
    <w:rsid w:val="00F0420A"/>
    <w:rsid w:val="00F04687"/>
    <w:rsid w:val="00F07086"/>
    <w:rsid w:val="00F0720A"/>
    <w:rsid w:val="00F07812"/>
    <w:rsid w:val="00F07938"/>
    <w:rsid w:val="00F11DD0"/>
    <w:rsid w:val="00F13710"/>
    <w:rsid w:val="00F152D2"/>
    <w:rsid w:val="00F15C22"/>
    <w:rsid w:val="00F15C86"/>
    <w:rsid w:val="00F15FCF"/>
    <w:rsid w:val="00F174B2"/>
    <w:rsid w:val="00F2271E"/>
    <w:rsid w:val="00F23E00"/>
    <w:rsid w:val="00F25AFC"/>
    <w:rsid w:val="00F265F8"/>
    <w:rsid w:val="00F271DC"/>
    <w:rsid w:val="00F27EFE"/>
    <w:rsid w:val="00F3158E"/>
    <w:rsid w:val="00F32E58"/>
    <w:rsid w:val="00F365C0"/>
    <w:rsid w:val="00F37FE0"/>
    <w:rsid w:val="00F45633"/>
    <w:rsid w:val="00F45A9F"/>
    <w:rsid w:val="00F462B3"/>
    <w:rsid w:val="00F50992"/>
    <w:rsid w:val="00F53382"/>
    <w:rsid w:val="00F54FC5"/>
    <w:rsid w:val="00F562D2"/>
    <w:rsid w:val="00F65D35"/>
    <w:rsid w:val="00F66BED"/>
    <w:rsid w:val="00F66F1D"/>
    <w:rsid w:val="00F70EEC"/>
    <w:rsid w:val="00F735FE"/>
    <w:rsid w:val="00F7419E"/>
    <w:rsid w:val="00F80223"/>
    <w:rsid w:val="00F804E6"/>
    <w:rsid w:val="00F80585"/>
    <w:rsid w:val="00F80E0B"/>
    <w:rsid w:val="00F8203A"/>
    <w:rsid w:val="00F85AB4"/>
    <w:rsid w:val="00F85F7E"/>
    <w:rsid w:val="00F87A00"/>
    <w:rsid w:val="00F9015E"/>
    <w:rsid w:val="00F9197E"/>
    <w:rsid w:val="00F96EB8"/>
    <w:rsid w:val="00F96EE2"/>
    <w:rsid w:val="00FA123E"/>
    <w:rsid w:val="00FA1E09"/>
    <w:rsid w:val="00FA572F"/>
    <w:rsid w:val="00FB06AA"/>
    <w:rsid w:val="00FB18F6"/>
    <w:rsid w:val="00FB2859"/>
    <w:rsid w:val="00FB7483"/>
    <w:rsid w:val="00FC17D8"/>
    <w:rsid w:val="00FC4052"/>
    <w:rsid w:val="00FC51BB"/>
    <w:rsid w:val="00FC6088"/>
    <w:rsid w:val="00FC7BF0"/>
    <w:rsid w:val="00FD149B"/>
    <w:rsid w:val="00FD2CBD"/>
    <w:rsid w:val="00FD4546"/>
    <w:rsid w:val="00FD4C05"/>
    <w:rsid w:val="00FD5EA9"/>
    <w:rsid w:val="00FD755D"/>
    <w:rsid w:val="00FE001A"/>
    <w:rsid w:val="00FE1751"/>
    <w:rsid w:val="00FE19B1"/>
    <w:rsid w:val="00FE1D78"/>
    <w:rsid w:val="00FE1EF3"/>
    <w:rsid w:val="00FE3D7B"/>
    <w:rsid w:val="00FE5A4E"/>
    <w:rsid w:val="00FE747A"/>
    <w:rsid w:val="00FF12FB"/>
    <w:rsid w:val="00FF13BC"/>
    <w:rsid w:val="00FF49C8"/>
    <w:rsid w:val="00FF5653"/>
    <w:rsid w:val="00FF672A"/>
    <w:rsid w:val="00FF6D67"/>
    <w:rsid w:val="6E9368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BA175"/>
  <w15:chartTrackingRefBased/>
  <w15:docId w15:val="{FC6F359B-FFED-4139-A2F4-368B586A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paragraph" w:styleId="Heading1">
    <w:name w:val="heading 1"/>
    <w:basedOn w:val="Normal"/>
    <w:link w:val="Heading1Char"/>
    <w:uiPriority w:val="9"/>
    <w:qFormat/>
    <w:rsid w:val="008922D1"/>
    <w:pPr>
      <w:spacing w:before="100" w:beforeAutospacing="1" w:after="100" w:afterAutospacing="1" w:line="240" w:lineRule="auto"/>
      <w:outlineLvl w:val="0"/>
    </w:pPr>
    <w:rPr>
      <w:rFonts w:ascii="Times New Roman" w:hAnsi="Times New Roman" w:eastAsia="Times New Roman" w:cs="Times New Roman"/>
      <w:b/>
      <w:bCs/>
      <w:kern w:val="36"/>
      <w:sz w:val="48"/>
      <w:szCs w:val="4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B7E1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B7E19"/>
    <w:rPr>
      <w:rFonts w:ascii="Segoe UI" w:hAnsi="Segoe UI" w:cs="Segoe UI"/>
      <w:sz w:val="18"/>
      <w:szCs w:val="18"/>
      <w:lang w:val="en-GB"/>
    </w:rPr>
  </w:style>
  <w:style w:type="paragraph" w:styleId="Default" w:customStyle="1">
    <w:name w:val="Default"/>
    <w:rsid w:val="00157587"/>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B519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CB5192"/>
    <w:rPr>
      <w:sz w:val="20"/>
      <w:szCs w:val="20"/>
      <w:lang w:val="en-GB"/>
    </w:rPr>
  </w:style>
  <w:style w:type="character" w:styleId="FootnoteReference">
    <w:name w:val="footnote reference"/>
    <w:basedOn w:val="DefaultParagraphFont"/>
    <w:uiPriority w:val="99"/>
    <w:semiHidden/>
    <w:unhideWhenUsed/>
    <w:rsid w:val="00CB5192"/>
    <w:rPr>
      <w:vertAlign w:val="superscript"/>
    </w:rPr>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List 100s,WB Para,L,3"/>
    <w:basedOn w:val="Normal"/>
    <w:link w:val="ListParagraphChar"/>
    <w:uiPriority w:val="34"/>
    <w:qFormat/>
    <w:rsid w:val="006E03B5"/>
    <w:pPr>
      <w:spacing w:after="200" w:line="276" w:lineRule="auto"/>
      <w:ind w:left="720"/>
      <w:contextualSpacing/>
    </w:pPr>
    <w:rPr>
      <w:rFonts w:eastAsiaTheme="minorHAnsi"/>
      <w:lang w:val="en-US" w:eastAsia="en-US"/>
    </w:rPr>
  </w:style>
  <w:style w:type="character" w:styleId="ListParagraphChar" w:customStyle="1">
    <w:name w:val="List Paragraph Char"/>
    <w:aliases w:val="List Paragraph (numbered (a)) Char,Lapis Bulleted List Char,Dot pt Char,F5 List Paragraph Char,List Paragraph1 Char,No Spacing1 Char,List Paragraph Char Char Char Char,Indicator Text Char,Numbered Para 1 Char,Bullet 1 Char,L Char"/>
    <w:link w:val="ListParagraph"/>
    <w:uiPriority w:val="34"/>
    <w:qFormat/>
    <w:locked/>
    <w:rsid w:val="006E03B5"/>
    <w:rPr>
      <w:rFonts w:eastAsiaTheme="minorHAnsi"/>
      <w:lang w:eastAsia="en-US"/>
    </w:rPr>
  </w:style>
  <w:style w:type="character" w:styleId="A2" w:customStyle="1">
    <w:name w:val="A2"/>
    <w:uiPriority w:val="99"/>
    <w:rsid w:val="00F07812"/>
    <w:rPr>
      <w:rFonts w:cs="Roboto Condensed"/>
      <w:color w:val="000000"/>
      <w:sz w:val="22"/>
      <w:szCs w:val="22"/>
    </w:rPr>
  </w:style>
  <w:style w:type="paragraph" w:styleId="Header">
    <w:name w:val="header"/>
    <w:basedOn w:val="Normal"/>
    <w:link w:val="HeaderChar"/>
    <w:uiPriority w:val="99"/>
    <w:unhideWhenUsed/>
    <w:rsid w:val="00AF7163"/>
    <w:pPr>
      <w:tabs>
        <w:tab w:val="center" w:pos="4680"/>
        <w:tab w:val="right" w:pos="9360"/>
      </w:tabs>
      <w:spacing w:after="0" w:line="240" w:lineRule="auto"/>
    </w:pPr>
  </w:style>
  <w:style w:type="character" w:styleId="HeaderChar" w:customStyle="1">
    <w:name w:val="Header Char"/>
    <w:basedOn w:val="DefaultParagraphFont"/>
    <w:link w:val="Header"/>
    <w:uiPriority w:val="99"/>
    <w:rsid w:val="00AF7163"/>
    <w:rPr>
      <w:lang w:val="en-GB"/>
    </w:rPr>
  </w:style>
  <w:style w:type="paragraph" w:styleId="Footer">
    <w:name w:val="footer"/>
    <w:basedOn w:val="Normal"/>
    <w:link w:val="FooterChar"/>
    <w:uiPriority w:val="99"/>
    <w:unhideWhenUsed/>
    <w:rsid w:val="00AF7163"/>
    <w:pPr>
      <w:tabs>
        <w:tab w:val="center" w:pos="4680"/>
        <w:tab w:val="right" w:pos="9360"/>
      </w:tabs>
      <w:spacing w:after="0" w:line="240" w:lineRule="auto"/>
    </w:pPr>
  </w:style>
  <w:style w:type="character" w:styleId="FooterChar" w:customStyle="1">
    <w:name w:val="Footer Char"/>
    <w:basedOn w:val="DefaultParagraphFont"/>
    <w:link w:val="Footer"/>
    <w:uiPriority w:val="99"/>
    <w:rsid w:val="00AF7163"/>
    <w:rPr>
      <w:lang w:val="en-GB"/>
    </w:rPr>
  </w:style>
  <w:style w:type="character" w:styleId="CommentReference">
    <w:name w:val="annotation reference"/>
    <w:basedOn w:val="DefaultParagraphFont"/>
    <w:uiPriority w:val="99"/>
    <w:semiHidden/>
    <w:unhideWhenUsed/>
    <w:rsid w:val="00AF7163"/>
    <w:rPr>
      <w:sz w:val="16"/>
      <w:szCs w:val="16"/>
    </w:rPr>
  </w:style>
  <w:style w:type="paragraph" w:styleId="CommentText">
    <w:name w:val="annotation text"/>
    <w:basedOn w:val="Normal"/>
    <w:link w:val="CommentTextChar"/>
    <w:uiPriority w:val="99"/>
    <w:unhideWhenUsed/>
    <w:rsid w:val="00AF7163"/>
    <w:pPr>
      <w:spacing w:line="240" w:lineRule="auto"/>
    </w:pPr>
    <w:rPr>
      <w:sz w:val="20"/>
      <w:szCs w:val="20"/>
    </w:rPr>
  </w:style>
  <w:style w:type="character" w:styleId="CommentTextChar" w:customStyle="1">
    <w:name w:val="Comment Text Char"/>
    <w:basedOn w:val="DefaultParagraphFont"/>
    <w:link w:val="CommentText"/>
    <w:uiPriority w:val="99"/>
    <w:rsid w:val="00AF7163"/>
    <w:rPr>
      <w:sz w:val="20"/>
      <w:szCs w:val="20"/>
      <w:lang w:val="en-GB"/>
    </w:rPr>
  </w:style>
  <w:style w:type="paragraph" w:styleId="CommentSubject">
    <w:name w:val="annotation subject"/>
    <w:basedOn w:val="CommentText"/>
    <w:next w:val="CommentText"/>
    <w:link w:val="CommentSubjectChar"/>
    <w:uiPriority w:val="99"/>
    <w:semiHidden/>
    <w:unhideWhenUsed/>
    <w:rsid w:val="00AF7163"/>
    <w:rPr>
      <w:b/>
      <w:bCs/>
    </w:rPr>
  </w:style>
  <w:style w:type="character" w:styleId="CommentSubjectChar" w:customStyle="1">
    <w:name w:val="Comment Subject Char"/>
    <w:basedOn w:val="CommentTextChar"/>
    <w:link w:val="CommentSubject"/>
    <w:uiPriority w:val="99"/>
    <w:semiHidden/>
    <w:rsid w:val="00AF7163"/>
    <w:rPr>
      <w:b/>
      <w:bCs/>
      <w:sz w:val="20"/>
      <w:szCs w:val="20"/>
      <w:lang w:val="en-GB"/>
    </w:rPr>
  </w:style>
  <w:style w:type="character" w:styleId="Hyperlink">
    <w:name w:val="Hyperlink"/>
    <w:basedOn w:val="DefaultParagraphFont"/>
    <w:uiPriority w:val="99"/>
    <w:unhideWhenUsed/>
    <w:rsid w:val="00521C98"/>
    <w:rPr>
      <w:color w:val="0000FF"/>
      <w:u w:val="single"/>
    </w:rPr>
  </w:style>
  <w:style w:type="paragraph" w:styleId="NormalWeb">
    <w:name w:val="Normal (Web)"/>
    <w:basedOn w:val="Normal"/>
    <w:uiPriority w:val="99"/>
    <w:unhideWhenUsed/>
    <w:rsid w:val="00C32036"/>
    <w:pPr>
      <w:spacing w:before="100" w:beforeAutospacing="1" w:after="100" w:afterAutospacing="1" w:line="240" w:lineRule="auto"/>
    </w:pPr>
    <w:rPr>
      <w:rFonts w:ascii="Times New Roman" w:hAnsi="Times New Roman" w:eastAsia="Times New Roman" w:cs="Times New Roman"/>
      <w:sz w:val="24"/>
      <w:szCs w:val="24"/>
      <w:lang w:val="en-US"/>
    </w:rPr>
  </w:style>
  <w:style w:type="table" w:styleId="TableGrid">
    <w:name w:val="Table Grid"/>
    <w:basedOn w:val="TableNormal"/>
    <w:uiPriority w:val="39"/>
    <w:rsid w:val="008F74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8F745C"/>
    <w:rPr>
      <w:color w:val="954F72" w:themeColor="followedHyperlink"/>
      <w:u w:val="single"/>
    </w:rPr>
  </w:style>
  <w:style w:type="character" w:styleId="UnresolvedMention">
    <w:name w:val="Unresolved Mention"/>
    <w:basedOn w:val="DefaultParagraphFont"/>
    <w:uiPriority w:val="99"/>
    <w:semiHidden/>
    <w:unhideWhenUsed/>
    <w:rsid w:val="004729EF"/>
    <w:rPr>
      <w:color w:val="605E5C"/>
      <w:shd w:val="clear" w:color="auto" w:fill="E1DFDD"/>
    </w:rPr>
  </w:style>
  <w:style w:type="character" w:styleId="Heading1Char" w:customStyle="1">
    <w:name w:val="Heading 1 Char"/>
    <w:basedOn w:val="DefaultParagraphFont"/>
    <w:link w:val="Heading1"/>
    <w:uiPriority w:val="9"/>
    <w:rsid w:val="008922D1"/>
    <w:rPr>
      <w:rFonts w:ascii="Times New Roman" w:hAnsi="Times New Roman" w:eastAsia="Times New Roman" w:cs="Times New Roman"/>
      <w:b/>
      <w:bCs/>
      <w:kern w:val="36"/>
      <w:sz w:val="48"/>
      <w:szCs w:val="48"/>
    </w:rPr>
  </w:style>
  <w:style w:type="paragraph" w:styleId="Revision">
    <w:name w:val="Revision"/>
    <w:hidden/>
    <w:uiPriority w:val="99"/>
    <w:semiHidden/>
    <w:rsid w:val="0025511B"/>
    <w:pPr>
      <w:spacing w:after="0" w:line="240" w:lineRule="auto"/>
    </w:pPr>
    <w:rPr>
      <w:lang w:val="en-GB"/>
    </w:rPr>
  </w:style>
  <w:style w:type="paragraph" w:styleId="pf0" w:customStyle="1">
    <w:name w:val="pf0"/>
    <w:basedOn w:val="Normal"/>
    <w:rsid w:val="0091333A"/>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cf01" w:customStyle="1">
    <w:name w:val="cf01"/>
    <w:basedOn w:val="DefaultParagraphFont"/>
    <w:rsid w:val="0091333A"/>
    <w:rPr>
      <w:rFonts w:hint="default" w:ascii="Segoe UI" w:hAnsi="Segoe UI" w:cs="Segoe UI"/>
      <w:sz w:val="18"/>
      <w:szCs w:val="18"/>
    </w:rPr>
  </w:style>
  <w:style w:type="paragraph" w:styleId="EndnoteText">
    <w:name w:val="endnote text"/>
    <w:basedOn w:val="Normal"/>
    <w:link w:val="EndnoteTextChar"/>
    <w:uiPriority w:val="99"/>
    <w:semiHidden/>
    <w:unhideWhenUsed/>
    <w:rsid w:val="000746EB"/>
    <w:pPr>
      <w:spacing w:after="0" w:line="240" w:lineRule="auto"/>
    </w:pPr>
    <w:rPr>
      <w:sz w:val="20"/>
      <w:szCs w:val="20"/>
    </w:rPr>
  </w:style>
  <w:style w:type="character" w:styleId="EndnoteTextChar" w:customStyle="1">
    <w:name w:val="Endnote Text Char"/>
    <w:basedOn w:val="DefaultParagraphFont"/>
    <w:link w:val="EndnoteText"/>
    <w:uiPriority w:val="99"/>
    <w:semiHidden/>
    <w:rsid w:val="000746EB"/>
    <w:rPr>
      <w:sz w:val="20"/>
      <w:szCs w:val="20"/>
      <w:lang w:val="en-GB"/>
    </w:rPr>
  </w:style>
  <w:style w:type="character" w:styleId="EndnoteReference">
    <w:name w:val="endnote reference"/>
    <w:basedOn w:val="DefaultParagraphFont"/>
    <w:uiPriority w:val="99"/>
    <w:semiHidden/>
    <w:unhideWhenUsed/>
    <w:rsid w:val="000746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84669">
      <w:bodyDiv w:val="1"/>
      <w:marLeft w:val="0"/>
      <w:marRight w:val="0"/>
      <w:marTop w:val="0"/>
      <w:marBottom w:val="0"/>
      <w:divBdr>
        <w:top w:val="none" w:sz="0" w:space="0" w:color="auto"/>
        <w:left w:val="none" w:sz="0" w:space="0" w:color="auto"/>
        <w:bottom w:val="none" w:sz="0" w:space="0" w:color="auto"/>
        <w:right w:val="none" w:sz="0" w:space="0" w:color="auto"/>
      </w:divBdr>
    </w:div>
    <w:div w:id="168570205">
      <w:bodyDiv w:val="1"/>
      <w:marLeft w:val="0"/>
      <w:marRight w:val="0"/>
      <w:marTop w:val="0"/>
      <w:marBottom w:val="0"/>
      <w:divBdr>
        <w:top w:val="none" w:sz="0" w:space="0" w:color="auto"/>
        <w:left w:val="none" w:sz="0" w:space="0" w:color="auto"/>
        <w:bottom w:val="none" w:sz="0" w:space="0" w:color="auto"/>
        <w:right w:val="none" w:sz="0" w:space="0" w:color="auto"/>
      </w:divBdr>
    </w:div>
    <w:div w:id="188875443">
      <w:bodyDiv w:val="1"/>
      <w:marLeft w:val="0"/>
      <w:marRight w:val="0"/>
      <w:marTop w:val="0"/>
      <w:marBottom w:val="0"/>
      <w:divBdr>
        <w:top w:val="none" w:sz="0" w:space="0" w:color="auto"/>
        <w:left w:val="none" w:sz="0" w:space="0" w:color="auto"/>
        <w:bottom w:val="none" w:sz="0" w:space="0" w:color="auto"/>
        <w:right w:val="none" w:sz="0" w:space="0" w:color="auto"/>
      </w:divBdr>
    </w:div>
    <w:div w:id="586304384">
      <w:bodyDiv w:val="1"/>
      <w:marLeft w:val="0"/>
      <w:marRight w:val="0"/>
      <w:marTop w:val="0"/>
      <w:marBottom w:val="0"/>
      <w:divBdr>
        <w:top w:val="none" w:sz="0" w:space="0" w:color="auto"/>
        <w:left w:val="none" w:sz="0" w:space="0" w:color="auto"/>
        <w:bottom w:val="none" w:sz="0" w:space="0" w:color="auto"/>
        <w:right w:val="none" w:sz="0" w:space="0" w:color="auto"/>
      </w:divBdr>
    </w:div>
    <w:div w:id="626198764">
      <w:bodyDiv w:val="1"/>
      <w:marLeft w:val="0"/>
      <w:marRight w:val="0"/>
      <w:marTop w:val="0"/>
      <w:marBottom w:val="0"/>
      <w:divBdr>
        <w:top w:val="none" w:sz="0" w:space="0" w:color="auto"/>
        <w:left w:val="none" w:sz="0" w:space="0" w:color="auto"/>
        <w:bottom w:val="none" w:sz="0" w:space="0" w:color="auto"/>
        <w:right w:val="none" w:sz="0" w:space="0" w:color="auto"/>
      </w:divBdr>
    </w:div>
    <w:div w:id="691299826">
      <w:bodyDiv w:val="1"/>
      <w:marLeft w:val="0"/>
      <w:marRight w:val="0"/>
      <w:marTop w:val="0"/>
      <w:marBottom w:val="0"/>
      <w:divBdr>
        <w:top w:val="none" w:sz="0" w:space="0" w:color="auto"/>
        <w:left w:val="none" w:sz="0" w:space="0" w:color="auto"/>
        <w:bottom w:val="none" w:sz="0" w:space="0" w:color="auto"/>
        <w:right w:val="none" w:sz="0" w:space="0" w:color="auto"/>
      </w:divBdr>
    </w:div>
    <w:div w:id="702748611">
      <w:bodyDiv w:val="1"/>
      <w:marLeft w:val="0"/>
      <w:marRight w:val="0"/>
      <w:marTop w:val="0"/>
      <w:marBottom w:val="0"/>
      <w:divBdr>
        <w:top w:val="none" w:sz="0" w:space="0" w:color="auto"/>
        <w:left w:val="none" w:sz="0" w:space="0" w:color="auto"/>
        <w:bottom w:val="none" w:sz="0" w:space="0" w:color="auto"/>
        <w:right w:val="none" w:sz="0" w:space="0" w:color="auto"/>
      </w:divBdr>
    </w:div>
    <w:div w:id="938610536">
      <w:bodyDiv w:val="1"/>
      <w:marLeft w:val="0"/>
      <w:marRight w:val="0"/>
      <w:marTop w:val="0"/>
      <w:marBottom w:val="0"/>
      <w:divBdr>
        <w:top w:val="none" w:sz="0" w:space="0" w:color="auto"/>
        <w:left w:val="none" w:sz="0" w:space="0" w:color="auto"/>
        <w:bottom w:val="none" w:sz="0" w:space="0" w:color="auto"/>
        <w:right w:val="none" w:sz="0" w:space="0" w:color="auto"/>
      </w:divBdr>
    </w:div>
    <w:div w:id="976296038">
      <w:bodyDiv w:val="1"/>
      <w:marLeft w:val="0"/>
      <w:marRight w:val="0"/>
      <w:marTop w:val="0"/>
      <w:marBottom w:val="0"/>
      <w:divBdr>
        <w:top w:val="none" w:sz="0" w:space="0" w:color="auto"/>
        <w:left w:val="none" w:sz="0" w:space="0" w:color="auto"/>
        <w:bottom w:val="none" w:sz="0" w:space="0" w:color="auto"/>
        <w:right w:val="none" w:sz="0" w:space="0" w:color="auto"/>
      </w:divBdr>
    </w:div>
    <w:div w:id="1169828889">
      <w:bodyDiv w:val="1"/>
      <w:marLeft w:val="0"/>
      <w:marRight w:val="0"/>
      <w:marTop w:val="0"/>
      <w:marBottom w:val="0"/>
      <w:divBdr>
        <w:top w:val="none" w:sz="0" w:space="0" w:color="auto"/>
        <w:left w:val="none" w:sz="0" w:space="0" w:color="auto"/>
        <w:bottom w:val="none" w:sz="0" w:space="0" w:color="auto"/>
        <w:right w:val="none" w:sz="0" w:space="0" w:color="auto"/>
      </w:divBdr>
    </w:div>
    <w:div w:id="1341079510">
      <w:bodyDiv w:val="1"/>
      <w:marLeft w:val="0"/>
      <w:marRight w:val="0"/>
      <w:marTop w:val="0"/>
      <w:marBottom w:val="0"/>
      <w:divBdr>
        <w:top w:val="none" w:sz="0" w:space="0" w:color="auto"/>
        <w:left w:val="none" w:sz="0" w:space="0" w:color="auto"/>
        <w:bottom w:val="none" w:sz="0" w:space="0" w:color="auto"/>
        <w:right w:val="none" w:sz="0" w:space="0" w:color="auto"/>
      </w:divBdr>
    </w:div>
    <w:div w:id="1410928091">
      <w:bodyDiv w:val="1"/>
      <w:marLeft w:val="0"/>
      <w:marRight w:val="0"/>
      <w:marTop w:val="0"/>
      <w:marBottom w:val="0"/>
      <w:divBdr>
        <w:top w:val="none" w:sz="0" w:space="0" w:color="auto"/>
        <w:left w:val="none" w:sz="0" w:space="0" w:color="auto"/>
        <w:bottom w:val="none" w:sz="0" w:space="0" w:color="auto"/>
        <w:right w:val="none" w:sz="0" w:space="0" w:color="auto"/>
      </w:divBdr>
    </w:div>
    <w:div w:id="1498305987">
      <w:bodyDiv w:val="1"/>
      <w:marLeft w:val="0"/>
      <w:marRight w:val="0"/>
      <w:marTop w:val="0"/>
      <w:marBottom w:val="0"/>
      <w:divBdr>
        <w:top w:val="none" w:sz="0" w:space="0" w:color="auto"/>
        <w:left w:val="none" w:sz="0" w:space="0" w:color="auto"/>
        <w:bottom w:val="none" w:sz="0" w:space="0" w:color="auto"/>
        <w:right w:val="none" w:sz="0" w:space="0" w:color="auto"/>
      </w:divBdr>
    </w:div>
    <w:div w:id="1638413674">
      <w:bodyDiv w:val="1"/>
      <w:marLeft w:val="0"/>
      <w:marRight w:val="0"/>
      <w:marTop w:val="0"/>
      <w:marBottom w:val="0"/>
      <w:divBdr>
        <w:top w:val="none" w:sz="0" w:space="0" w:color="auto"/>
        <w:left w:val="none" w:sz="0" w:space="0" w:color="auto"/>
        <w:bottom w:val="none" w:sz="0" w:space="0" w:color="auto"/>
        <w:right w:val="none" w:sz="0" w:space="0" w:color="auto"/>
      </w:divBdr>
    </w:div>
    <w:div w:id="1856919883">
      <w:bodyDiv w:val="1"/>
      <w:marLeft w:val="0"/>
      <w:marRight w:val="0"/>
      <w:marTop w:val="0"/>
      <w:marBottom w:val="0"/>
      <w:divBdr>
        <w:top w:val="none" w:sz="0" w:space="0" w:color="auto"/>
        <w:left w:val="none" w:sz="0" w:space="0" w:color="auto"/>
        <w:bottom w:val="none" w:sz="0" w:space="0" w:color="auto"/>
        <w:right w:val="none" w:sz="0" w:space="0" w:color="auto"/>
      </w:divBdr>
    </w:div>
    <w:div w:id="1926257914">
      <w:bodyDiv w:val="1"/>
      <w:marLeft w:val="0"/>
      <w:marRight w:val="0"/>
      <w:marTop w:val="0"/>
      <w:marBottom w:val="0"/>
      <w:divBdr>
        <w:top w:val="none" w:sz="0" w:space="0" w:color="auto"/>
        <w:left w:val="none" w:sz="0" w:space="0" w:color="auto"/>
        <w:bottom w:val="none" w:sz="0" w:space="0" w:color="auto"/>
        <w:right w:val="none" w:sz="0" w:space="0" w:color="auto"/>
      </w:divBdr>
    </w:div>
    <w:div w:id="1961908713">
      <w:bodyDiv w:val="1"/>
      <w:marLeft w:val="0"/>
      <w:marRight w:val="0"/>
      <w:marTop w:val="0"/>
      <w:marBottom w:val="0"/>
      <w:divBdr>
        <w:top w:val="none" w:sz="0" w:space="0" w:color="auto"/>
        <w:left w:val="none" w:sz="0" w:space="0" w:color="auto"/>
        <w:bottom w:val="none" w:sz="0" w:space="0" w:color="auto"/>
        <w:right w:val="none" w:sz="0" w:space="0" w:color="auto"/>
      </w:divBdr>
    </w:div>
    <w:div w:id="214361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hlpf.un.org/sites/default/files/migrated/documents/14367SDG3format-rev_MD_OD.pdf" TargetMode="External" Id="rId13" /><Relationship Type="http://schemas.openxmlformats.org/officeDocument/2006/relationships/hyperlink" Target="https://hlpf.un.org/sites/default/files/migrated/documents/27874BN_HLPF_2021_SDG_1_2_8_17.pdf" TargetMode="External" Id="rId18" /><Relationship Type="http://schemas.openxmlformats.org/officeDocument/2006/relationships/customXml" Target="../customXml/item3.xml" Id="rId3" /><Relationship Type="http://schemas.openxmlformats.org/officeDocument/2006/relationships/hyperlink" Target="https://hlpf.un.org/sites/default/files/2022-06/BN%20HLPF%202022%20SDG%2014.pdf" TargetMode="External" Id="rId21" /><Relationship Type="http://schemas.openxmlformats.org/officeDocument/2006/relationships/settings" Target="settings.xml" Id="rId7" /><Relationship Type="http://schemas.openxmlformats.org/officeDocument/2006/relationships/hyperlink" Target="https://hlpf.un.org/sites/default/files/migrated/documents/27965BN_HLPF_2021__3_10_16_17.pdf" TargetMode="External" Id="rId12" /><Relationship Type="http://schemas.openxmlformats.org/officeDocument/2006/relationships/hyperlink" Target="https://sdgs.un.org/sites/default/files/2021-08/2021%20HLPF-EGM-Report-SDG2-focused%20Breakout%20session%20%281%29.pdf" TargetMode="External" Id="rId17" /><Relationship Type="http://schemas.openxmlformats.org/officeDocument/2006/relationships/customXml" Target="../customXml/item2.xml" Id="rId2" /><Relationship Type="http://schemas.openxmlformats.org/officeDocument/2006/relationships/hyperlink" Target="https://hlpf.un.org/sites/default/files/migrated/documents/14383SDG5format-revOD.pdf" TargetMode="External" Id="rId16" /><Relationship Type="http://schemas.openxmlformats.org/officeDocument/2006/relationships/hyperlink" Target="https://sdgs.un.org/sites/default/files/2022-05/HLPF%202022%20SDG%2014%20Expert%20Group%20Meeting%20Concept%20Note%20and%20Program_May%2010%202022_FINAL_1.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dgs.un.org/sites/default/files/2021-07/HLPF%20SDG%203%20EGM%20Summary.%20June%202021-2.pdf"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hlpf.un.org/sites/default/files/2022-06/HLPF%202022%20BN%20SDG%205.pdf"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sustainabledevelopment.un.org/index.php?page=view&amp;type=13&amp;nr=3054&amp;menu=1634"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dgs.un.org/sites/default/files/2022-05/HLPF%20EGM%20SDG%205%20Summary%2018.5.22.pdf" TargetMode="External" Id="rId14" /><Relationship Type="http://schemas.openxmlformats.org/officeDocument/2006/relationships/hyperlink" Target="https://hlpf.un.org/sites/default/files/migrated/documents/14375SDG14format-revOD.pdf" TargetMode="External" Id="rId22" /></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sdgs/report/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5B13109F94064EBDFA3518B1190AEE" ma:contentTypeVersion="16" ma:contentTypeDescription="Create a new document." ma:contentTypeScope="" ma:versionID="a1c606ca7368bf5086721f1b4b62b1de">
  <xsd:schema xmlns:xsd="http://www.w3.org/2001/XMLSchema" xmlns:xs="http://www.w3.org/2001/XMLSchema" xmlns:p="http://schemas.microsoft.com/office/2006/metadata/properties" xmlns:ns3="7822758e-e78c-4f6a-9a27-5e0a6c5dbafb" xmlns:ns4="884078ce-1424-4208-80e5-d45dffe1b1c9" targetNamespace="http://schemas.microsoft.com/office/2006/metadata/properties" ma:root="true" ma:fieldsID="c6578f5662e5f486f996c0ba82b726f6" ns3:_="" ns4:_="">
    <xsd:import namespace="7822758e-e78c-4f6a-9a27-5e0a6c5dbafb"/>
    <xsd:import namespace="884078ce-1424-4208-80e5-d45dffe1b1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758e-e78c-4f6a-9a27-5e0a6c5db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4078ce-1424-4208-80e5-d45dffe1b1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822758e-e78c-4f6a-9a27-5e0a6c5dbaf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332F4-0666-4280-A263-018D6A6F5CC2}">
  <ds:schemaRefs>
    <ds:schemaRef ds:uri="http://schemas.microsoft.com/sharepoint/v3/contenttype/forms"/>
  </ds:schemaRefs>
</ds:datastoreItem>
</file>

<file path=customXml/itemProps2.xml><?xml version="1.0" encoding="utf-8"?>
<ds:datastoreItem xmlns:ds="http://schemas.openxmlformats.org/officeDocument/2006/customXml" ds:itemID="{B1671EE1-3F24-43DD-9AAE-8EE46AE3D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758e-e78c-4f6a-9a27-5e0a6c5dbafb"/>
    <ds:schemaRef ds:uri="884078ce-1424-4208-80e5-d45dffe1b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56981-B385-47DC-BCC7-25D9F8DB069A}">
  <ds:schemaRefs>
    <ds:schemaRef ds:uri="http://schemas.microsoft.com/office/2006/metadata/properties"/>
    <ds:schemaRef ds:uri="http://schemas.microsoft.com/office/infopath/2007/PartnerControls"/>
    <ds:schemaRef ds:uri="7822758e-e78c-4f6a-9a27-5e0a6c5dbafb"/>
  </ds:schemaRefs>
</ds:datastoreItem>
</file>

<file path=customXml/itemProps4.xml><?xml version="1.0" encoding="utf-8"?>
<ds:datastoreItem xmlns:ds="http://schemas.openxmlformats.org/officeDocument/2006/customXml" ds:itemID="{0877D638-C7D3-42A8-A1BF-61B314E1A3AC}">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Astra Bonini</dc:creator>
  <keywords/>
  <dc:description/>
  <lastModifiedBy>Shivani Nayyar</lastModifiedBy>
  <revision>3</revision>
  <lastPrinted>2024-10-15T14:55:00.0000000Z</lastPrinted>
  <dcterms:created xsi:type="dcterms:W3CDTF">2024-10-18T16:44:00.0000000Z</dcterms:created>
  <dcterms:modified xsi:type="dcterms:W3CDTF">2024-11-26T21:41:57.8313415Z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0x0101001C5B13109F94064EBDFA3518B1190AEE</vt:lpwstr>
  </property>
</Properties>
</file>