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0C0E" w14:textId="3C9DCD56" w:rsidR="000F1300" w:rsidRDefault="00544E10" w:rsidP="00A56F7F">
      <w:pPr>
        <w:jc w:val="center"/>
        <w:rPr>
          <w:rFonts w:asciiTheme="minorHAnsi" w:hAnsiTheme="minorHAnsi" w:cstheme="minorBidi"/>
          <w:b/>
          <w:bCs/>
        </w:rPr>
      </w:pPr>
      <w:r>
        <w:rPr>
          <w:rFonts w:asciiTheme="minorHAnsi" w:hAnsiTheme="minorHAnsi" w:cstheme="minorBidi"/>
          <w:b/>
          <w:bCs/>
        </w:rPr>
        <w:t>UNDP input to the EGM</w:t>
      </w:r>
    </w:p>
    <w:p w14:paraId="0CDB2ED1" w14:textId="5B751DBF" w:rsidR="00544E10" w:rsidRDefault="00544E10" w:rsidP="00A56F7F">
      <w:pPr>
        <w:jc w:val="center"/>
        <w:rPr>
          <w:rFonts w:asciiTheme="minorHAnsi" w:hAnsiTheme="minorHAnsi" w:cstheme="minorBidi"/>
          <w:b/>
          <w:bCs/>
        </w:rPr>
      </w:pPr>
      <w:r>
        <w:rPr>
          <w:rFonts w:asciiTheme="minorHAnsi" w:hAnsiTheme="minorHAnsi" w:cstheme="minorBidi"/>
          <w:b/>
          <w:bCs/>
        </w:rPr>
        <w:t>28 May 2021</w:t>
      </w:r>
    </w:p>
    <w:p w14:paraId="3702FDA8" w14:textId="08C9E4A2" w:rsidR="00544E10" w:rsidRDefault="00544E10" w:rsidP="000F1300">
      <w:pPr>
        <w:rPr>
          <w:rFonts w:asciiTheme="minorHAnsi" w:hAnsiTheme="minorHAnsi" w:cstheme="minorBidi"/>
          <w:b/>
          <w:bCs/>
        </w:rPr>
      </w:pPr>
    </w:p>
    <w:p w14:paraId="5F75A929" w14:textId="24BF7608" w:rsidR="006E2022" w:rsidRPr="006E2022" w:rsidRDefault="006E2022" w:rsidP="006E2022">
      <w:pPr>
        <w:spacing w:line="276" w:lineRule="auto"/>
        <w:contextualSpacing/>
        <w:rPr>
          <w:b/>
          <w:bCs/>
          <w:color w:val="000000" w:themeColor="text1"/>
        </w:rPr>
      </w:pPr>
      <w:r w:rsidRPr="006E2022">
        <w:rPr>
          <w:b/>
          <w:bCs/>
          <w:color w:val="000000" w:themeColor="text1"/>
        </w:rPr>
        <w:t>COVID-19 has led to a decline in human development for the first time in three decades and the poorest and most marginalized populations are bearing the brunt of development declines and being the hardest hit by the pandemic – especially in crisis settings. Below are some key messages:</w:t>
      </w:r>
    </w:p>
    <w:p w14:paraId="2B880DDB" w14:textId="77777777" w:rsidR="006E2022" w:rsidRPr="00F6077D" w:rsidRDefault="006E2022" w:rsidP="006E2022">
      <w:pPr>
        <w:pStyle w:val="ListParagraph"/>
        <w:numPr>
          <w:ilvl w:val="0"/>
          <w:numId w:val="13"/>
        </w:numPr>
        <w:spacing w:line="276" w:lineRule="auto"/>
        <w:contextualSpacing/>
        <w:rPr>
          <w:rStyle w:val="EmailStyle24"/>
          <w:rFonts w:cs="Times New Roman"/>
          <w:i/>
          <w:iCs/>
          <w:color w:val="000000" w:themeColor="text1"/>
        </w:rPr>
      </w:pPr>
      <w:r w:rsidRPr="004D496A">
        <w:rPr>
          <w:rStyle w:val="EmailStyle24"/>
          <w:rFonts w:asciiTheme="minorHAnsi" w:hAnsiTheme="minorHAnsi" w:cstheme="minorHAnsi"/>
          <w:color w:val="000000" w:themeColor="text1"/>
        </w:rPr>
        <w:t xml:space="preserve">First, </w:t>
      </w:r>
      <w:r>
        <w:rPr>
          <w:rStyle w:val="EmailStyle24"/>
          <w:rFonts w:asciiTheme="minorHAnsi" w:hAnsiTheme="minorHAnsi" w:cstheme="minorHAnsi"/>
          <w:color w:val="000000" w:themeColor="text1"/>
        </w:rPr>
        <w:t xml:space="preserve">we </w:t>
      </w:r>
      <w:r w:rsidRPr="004D496A">
        <w:rPr>
          <w:rStyle w:val="EmailStyle24"/>
          <w:rFonts w:asciiTheme="minorHAnsi" w:hAnsiTheme="minorHAnsi" w:cstheme="minorHAnsi"/>
          <w:color w:val="000000" w:themeColor="text1"/>
        </w:rPr>
        <w:t xml:space="preserve">need to </w:t>
      </w:r>
      <w:r w:rsidRPr="001A56F8">
        <w:rPr>
          <w:rStyle w:val="EmailStyle24"/>
          <w:rFonts w:asciiTheme="minorHAnsi" w:hAnsiTheme="minorHAnsi" w:cstheme="minorHAnsi"/>
          <w:b/>
          <w:bCs/>
          <w:color w:val="000000" w:themeColor="text1"/>
          <w:u w:val="single"/>
        </w:rPr>
        <w:t>adopt a ‘systems</w:t>
      </w:r>
      <w:r w:rsidRPr="001160AD">
        <w:rPr>
          <w:rStyle w:val="EmailStyle24"/>
          <w:rFonts w:asciiTheme="minorHAnsi" w:hAnsiTheme="minorHAnsi" w:cstheme="minorHAnsi"/>
          <w:b/>
          <w:bCs/>
          <w:color w:val="000000" w:themeColor="text1"/>
          <w:u w:val="single"/>
        </w:rPr>
        <w:t>-approach’</w:t>
      </w:r>
      <w:r w:rsidRPr="004D496A">
        <w:rPr>
          <w:rStyle w:val="EmailStyle24"/>
          <w:rFonts w:asciiTheme="minorHAnsi" w:hAnsiTheme="minorHAnsi" w:cstheme="minorHAnsi"/>
          <w:color w:val="000000" w:themeColor="text1"/>
          <w:u w:val="single"/>
        </w:rPr>
        <w:t xml:space="preserve"> </w:t>
      </w:r>
      <w:r w:rsidRPr="001A56F8">
        <w:rPr>
          <w:rStyle w:val="EmailStyle24"/>
          <w:rFonts w:asciiTheme="minorHAnsi" w:hAnsiTheme="minorHAnsi" w:cstheme="minorHAnsi"/>
          <w:color w:val="000000" w:themeColor="text1"/>
        </w:rPr>
        <w:t xml:space="preserve">to </w:t>
      </w:r>
      <w:r w:rsidRPr="00F6077D">
        <w:rPr>
          <w:rStyle w:val="EmailStyle24"/>
          <w:rFonts w:asciiTheme="minorHAnsi" w:hAnsiTheme="minorHAnsi" w:cstheme="minorHAnsi"/>
          <w:color w:val="000000" w:themeColor="text1"/>
        </w:rPr>
        <w:t xml:space="preserve">addressing the multi-dimensional nature of development challenges, particularly in fragile contexts. In practice, this means our work </w:t>
      </w:r>
      <w:r>
        <w:rPr>
          <w:rStyle w:val="EmailStyle24"/>
          <w:rFonts w:asciiTheme="minorHAnsi" w:hAnsiTheme="minorHAnsi" w:cstheme="minorHAnsi"/>
          <w:color w:val="000000" w:themeColor="text1"/>
        </w:rPr>
        <w:t>must be</w:t>
      </w:r>
      <w:r w:rsidRPr="00F6077D">
        <w:rPr>
          <w:rStyle w:val="EmailStyle24"/>
          <w:rFonts w:asciiTheme="minorHAnsi" w:hAnsiTheme="minorHAnsi" w:cstheme="minorHAnsi"/>
          <w:color w:val="000000" w:themeColor="text1"/>
        </w:rPr>
        <w:t xml:space="preserve"> informed by robust analysis of risk and understanding of the root causes of systemic inequalities. </w:t>
      </w:r>
    </w:p>
    <w:p w14:paraId="1D886779" w14:textId="77777777" w:rsidR="006E2022" w:rsidRPr="00F6077D" w:rsidRDefault="006E2022" w:rsidP="006E2022">
      <w:pPr>
        <w:pStyle w:val="ListParagraph"/>
        <w:numPr>
          <w:ilvl w:val="1"/>
          <w:numId w:val="13"/>
        </w:numPr>
        <w:spacing w:line="276" w:lineRule="auto"/>
        <w:contextualSpacing/>
        <w:rPr>
          <w:i/>
          <w:iCs/>
          <w:color w:val="000000" w:themeColor="text1"/>
        </w:rPr>
      </w:pPr>
      <w:r w:rsidRPr="00F6077D">
        <w:rPr>
          <w:rStyle w:val="EmailStyle24"/>
          <w:rFonts w:asciiTheme="minorHAnsi" w:hAnsiTheme="minorHAnsi" w:cstheme="minorHAnsi"/>
          <w:color w:val="000000" w:themeColor="text1"/>
        </w:rPr>
        <w:t xml:space="preserve">We see that the pandemic has compounded vulnerabilities and </w:t>
      </w:r>
      <w:r w:rsidRPr="00F6077D">
        <w:rPr>
          <w:rFonts w:asciiTheme="minorHAnsi" w:hAnsiTheme="minorHAnsi" w:cstheme="minorHAnsi"/>
          <w:color w:val="000000" w:themeColor="text1"/>
        </w:rPr>
        <w:t xml:space="preserve">exposed asymmetries and weaknesses in social, political and economic systems. </w:t>
      </w:r>
    </w:p>
    <w:p w14:paraId="14F6496D" w14:textId="77777777" w:rsidR="006E2022" w:rsidRPr="00FB660D" w:rsidRDefault="006E2022" w:rsidP="006E2022">
      <w:pPr>
        <w:pStyle w:val="ListParagraph"/>
        <w:numPr>
          <w:ilvl w:val="1"/>
          <w:numId w:val="13"/>
        </w:numPr>
        <w:spacing w:line="276" w:lineRule="auto"/>
        <w:contextualSpacing/>
        <w:rPr>
          <w:i/>
          <w:iCs/>
          <w:color w:val="000000" w:themeColor="text1"/>
        </w:rPr>
      </w:pPr>
      <w:r>
        <w:rPr>
          <w:rFonts w:asciiTheme="minorHAnsi" w:hAnsiTheme="minorHAnsi" w:cstheme="minorHAnsi"/>
          <w:color w:val="000000" w:themeColor="text1"/>
        </w:rPr>
        <w:t>S</w:t>
      </w:r>
      <w:r w:rsidRPr="00FB660D">
        <w:rPr>
          <w:rFonts w:asciiTheme="minorHAnsi" w:hAnsiTheme="minorHAnsi" w:cstheme="minorHAnsi"/>
          <w:color w:val="000000" w:themeColor="text1"/>
        </w:rPr>
        <w:t>ocial cohesion is being stretched thin during the pandemic as riots, political violence increased substantially</w:t>
      </w:r>
      <w:r>
        <w:rPr>
          <w:rFonts w:asciiTheme="minorHAnsi" w:hAnsiTheme="minorHAnsi" w:cstheme="minorHAnsi"/>
          <w:color w:val="000000" w:themeColor="text1"/>
        </w:rPr>
        <w:t>. F</w:t>
      </w:r>
      <w:r w:rsidRPr="005768FE">
        <w:rPr>
          <w:rFonts w:asciiTheme="minorHAnsi" w:hAnsiTheme="minorHAnsi" w:cstheme="minorHAnsi"/>
          <w:color w:val="000000" w:themeColor="text1"/>
        </w:rPr>
        <w:t xml:space="preserve">ood insecurity is on the rise, as is displacement. These are often </w:t>
      </w:r>
      <w:r>
        <w:rPr>
          <w:rFonts w:asciiTheme="minorHAnsi" w:hAnsiTheme="minorHAnsi" w:cstheme="minorHAnsi"/>
          <w:color w:val="000000" w:themeColor="text1"/>
        </w:rPr>
        <w:t>interlinked</w:t>
      </w:r>
      <w:r w:rsidRPr="005768FE">
        <w:rPr>
          <w:rFonts w:asciiTheme="minorHAnsi" w:hAnsiTheme="minorHAnsi" w:cstheme="minorHAnsi"/>
          <w:color w:val="000000" w:themeColor="text1"/>
        </w:rPr>
        <w:t xml:space="preserve"> challenges, which must be addressed in a holistic fashion.  </w:t>
      </w:r>
    </w:p>
    <w:p w14:paraId="476BA47A" w14:textId="77777777" w:rsidR="006E2022" w:rsidRPr="00D85456" w:rsidRDefault="006E2022" w:rsidP="006E2022">
      <w:pPr>
        <w:pStyle w:val="ListParagraph"/>
        <w:numPr>
          <w:ilvl w:val="1"/>
          <w:numId w:val="13"/>
        </w:numPr>
        <w:spacing w:line="276" w:lineRule="auto"/>
        <w:contextualSpacing/>
        <w:rPr>
          <w:i/>
          <w:iCs/>
          <w:color w:val="000000" w:themeColor="text1"/>
        </w:rPr>
      </w:pPr>
      <w:r>
        <w:rPr>
          <w:rFonts w:asciiTheme="minorHAnsi" w:hAnsiTheme="minorHAnsi" w:cstheme="minorHAnsi"/>
          <w:color w:val="000000" w:themeColor="text1"/>
        </w:rPr>
        <w:t xml:space="preserve">Mismanagement and corruption, for example, which impedes delivery of services can also be a driver of instability and protest, especially when trust in public institutions are at a low. </w:t>
      </w:r>
    </w:p>
    <w:p w14:paraId="0791B9E9" w14:textId="77777777" w:rsidR="006E2022" w:rsidRPr="00EA7F17" w:rsidRDefault="006E2022" w:rsidP="006E2022">
      <w:pPr>
        <w:pStyle w:val="ListParagraph"/>
        <w:numPr>
          <w:ilvl w:val="1"/>
          <w:numId w:val="13"/>
        </w:numPr>
        <w:spacing w:after="200" w:line="276" w:lineRule="auto"/>
        <w:contextualSpacing/>
        <w:rPr>
          <w:rFonts w:asciiTheme="minorHAnsi" w:hAnsiTheme="minorHAnsi" w:cstheme="minorHAnsi"/>
        </w:rPr>
      </w:pPr>
      <w:r w:rsidRPr="006D76BE">
        <w:rPr>
          <w:rFonts w:asciiTheme="minorHAnsi" w:hAnsiTheme="minorHAnsi" w:cstheme="minorHAnsi"/>
          <w:color w:val="000000" w:themeColor="text1"/>
        </w:rPr>
        <w:t xml:space="preserve">To address some of these challenges, adopting an integrated approach, in partnership with </w:t>
      </w:r>
      <w:r w:rsidRPr="006D76BE">
        <w:rPr>
          <w:color w:val="000000" w:themeColor="text1"/>
        </w:rPr>
        <w:t xml:space="preserve">local authorities, peacebuilders, civil society and justice actors, is necessary - not only to ensure that services continue to be delivered, but also to build community resilience and prevent conflict. </w:t>
      </w:r>
    </w:p>
    <w:p w14:paraId="7C95CE19" w14:textId="77777777" w:rsidR="006E2022" w:rsidRPr="00FB519A" w:rsidRDefault="006E2022" w:rsidP="006E2022">
      <w:pPr>
        <w:pStyle w:val="ListParagraph"/>
        <w:numPr>
          <w:ilvl w:val="0"/>
          <w:numId w:val="13"/>
        </w:numPr>
        <w:spacing w:after="200" w:line="276" w:lineRule="auto"/>
        <w:contextualSpacing/>
        <w:rPr>
          <w:rFonts w:asciiTheme="minorHAnsi" w:hAnsiTheme="minorHAnsi" w:cstheme="minorHAnsi"/>
        </w:rPr>
      </w:pPr>
      <w:r>
        <w:rPr>
          <w:color w:val="000000" w:themeColor="text1"/>
        </w:rPr>
        <w:t xml:space="preserve">Second, </w:t>
      </w:r>
      <w:r w:rsidRPr="001A56F8">
        <w:rPr>
          <w:b/>
          <w:bCs/>
          <w:color w:val="000000" w:themeColor="text1"/>
          <w:u w:val="single"/>
        </w:rPr>
        <w:t>inclusion and meaningful participation</w:t>
      </w:r>
      <w:r w:rsidRPr="001A56F8">
        <w:rPr>
          <w:color w:val="000000" w:themeColor="text1"/>
        </w:rPr>
        <w:t xml:space="preserve">, which lie at the heart of SDG 16, cannot be forgotten during times of crisis, let alone the current </w:t>
      </w:r>
      <w:r w:rsidRPr="00672B09">
        <w:rPr>
          <w:color w:val="000000" w:themeColor="text1"/>
        </w:rPr>
        <w:t>pandemic.</w:t>
      </w:r>
      <w:r w:rsidRPr="00FB519A">
        <w:rPr>
          <w:color w:val="000000" w:themeColor="text1"/>
        </w:rPr>
        <w:t xml:space="preserve"> Inclusive governance processes are a precondition to achieving equitable outcomes. </w:t>
      </w:r>
    </w:p>
    <w:p w14:paraId="186E2DB3" w14:textId="77777777" w:rsidR="006E2022" w:rsidRDefault="006E2022" w:rsidP="006E2022">
      <w:pPr>
        <w:pStyle w:val="ListParagraph"/>
        <w:numPr>
          <w:ilvl w:val="1"/>
          <w:numId w:val="13"/>
        </w:numPr>
        <w:spacing w:after="200" w:line="276" w:lineRule="auto"/>
        <w:contextualSpacing/>
        <w:rPr>
          <w:color w:val="000000" w:themeColor="text1"/>
        </w:rPr>
      </w:pPr>
      <w:r w:rsidRPr="00D85456">
        <w:rPr>
          <w:rFonts w:asciiTheme="minorHAnsi" w:hAnsiTheme="minorHAnsi" w:cstheme="minorHAnsi"/>
        </w:rPr>
        <w:t xml:space="preserve">Understanding the </w:t>
      </w:r>
      <w:r w:rsidRPr="001A56F8">
        <w:rPr>
          <w:b/>
          <w:bCs/>
          <w:color w:val="000000" w:themeColor="text1"/>
        </w:rPr>
        <w:t>gendered implications</w:t>
      </w:r>
      <w:r>
        <w:rPr>
          <w:b/>
          <w:bCs/>
          <w:color w:val="000000" w:themeColor="text1"/>
        </w:rPr>
        <w:t xml:space="preserve"> </w:t>
      </w:r>
      <w:r w:rsidRPr="001A56F8">
        <w:rPr>
          <w:color w:val="000000" w:themeColor="text1"/>
        </w:rPr>
        <w:t>of</w:t>
      </w:r>
      <w:r w:rsidRPr="00D85456">
        <w:rPr>
          <w:color w:val="000000" w:themeColor="text1"/>
        </w:rPr>
        <w:t xml:space="preserve"> the crisis is </w:t>
      </w:r>
      <w:r>
        <w:rPr>
          <w:color w:val="000000" w:themeColor="text1"/>
        </w:rPr>
        <w:t>fundamental to making sure half the population is not left behind. T</w:t>
      </w:r>
      <w:r w:rsidRPr="00922BBC">
        <w:rPr>
          <w:color w:val="000000" w:themeColor="text1"/>
        </w:rPr>
        <w:t>he</w:t>
      </w:r>
      <w:r>
        <w:rPr>
          <w:color w:val="000000" w:themeColor="text1"/>
        </w:rPr>
        <w:t xml:space="preserve"> recently launched</w:t>
      </w:r>
      <w:r w:rsidRPr="00922BBC">
        <w:rPr>
          <w:color w:val="000000" w:themeColor="text1"/>
        </w:rPr>
        <w:t xml:space="preserve"> </w:t>
      </w:r>
      <w:r w:rsidRPr="001A56F8">
        <w:rPr>
          <w:i/>
          <w:iCs/>
          <w:color w:val="000000" w:themeColor="text1"/>
        </w:rPr>
        <w:t>COVID-19 Gender Response Tracker,</w:t>
      </w:r>
      <w:r>
        <w:rPr>
          <w:color w:val="000000" w:themeColor="text1"/>
        </w:rPr>
        <w:t xml:space="preserve"> for example, shows</w:t>
      </w:r>
      <w:r w:rsidRPr="00922BBC">
        <w:rPr>
          <w:color w:val="000000" w:themeColor="text1"/>
        </w:rPr>
        <w:t xml:space="preserve"> significant gaps in women’s participation in decision</w:t>
      </w:r>
      <w:r>
        <w:rPr>
          <w:color w:val="000000" w:themeColor="text1"/>
        </w:rPr>
        <w:t>-m</w:t>
      </w:r>
      <w:r w:rsidRPr="00922BBC">
        <w:rPr>
          <w:color w:val="000000" w:themeColor="text1"/>
        </w:rPr>
        <w:t>aking related to COVID-19 policies</w:t>
      </w:r>
      <w:r>
        <w:rPr>
          <w:color w:val="000000" w:themeColor="text1"/>
        </w:rPr>
        <w:t xml:space="preserve">. </w:t>
      </w:r>
    </w:p>
    <w:p w14:paraId="6EC09FC6" w14:textId="4B73115E" w:rsidR="006E2022" w:rsidRPr="006E2022" w:rsidRDefault="006E2022" w:rsidP="006E2022">
      <w:pPr>
        <w:pStyle w:val="ListParagraph"/>
        <w:numPr>
          <w:ilvl w:val="1"/>
          <w:numId w:val="13"/>
        </w:numPr>
        <w:spacing w:after="200" w:line="276" w:lineRule="auto"/>
        <w:contextualSpacing/>
        <w:rPr>
          <w:color w:val="000000" w:themeColor="text1"/>
        </w:rPr>
      </w:pPr>
      <w:r w:rsidRPr="006E2022">
        <w:rPr>
          <w:rStyle w:val="normaltextrun"/>
          <w:rFonts w:asciiTheme="minorHAnsi" w:hAnsiTheme="minorHAnsi" w:cstheme="minorHAnsi"/>
          <w:bCs/>
        </w:rPr>
        <w:t>In addition, s</w:t>
      </w:r>
      <w:r w:rsidRPr="006E2022">
        <w:rPr>
          <w:rFonts w:cstheme="minorHAnsi"/>
        </w:rPr>
        <w:t xml:space="preserve">upporting, </w:t>
      </w:r>
      <w:r w:rsidRPr="006E2022">
        <w:rPr>
          <w:rFonts w:cstheme="minorHAnsi"/>
          <w:b/>
          <w:bCs/>
        </w:rPr>
        <w:t>young people as positive agents of change</w:t>
      </w:r>
      <w:r w:rsidRPr="006E2022">
        <w:rPr>
          <w:rFonts w:cstheme="minorHAnsi"/>
        </w:rPr>
        <w:t xml:space="preserve"> is critical</w:t>
      </w:r>
      <w:bookmarkStart w:id="0" w:name="_Hlk70077573"/>
      <w:r w:rsidRPr="006E2022">
        <w:rPr>
          <w:rFonts w:cstheme="minorHAnsi"/>
        </w:rPr>
        <w:t>.</w:t>
      </w:r>
    </w:p>
    <w:p w14:paraId="6BA1757D" w14:textId="55DBEABE" w:rsidR="006E2022" w:rsidRPr="006E2022" w:rsidRDefault="006E2022" w:rsidP="00EC6CE5">
      <w:pPr>
        <w:pStyle w:val="ListParagraph"/>
        <w:numPr>
          <w:ilvl w:val="0"/>
          <w:numId w:val="15"/>
        </w:numPr>
        <w:spacing w:after="200" w:line="276" w:lineRule="auto"/>
        <w:ind w:left="360"/>
        <w:contextualSpacing/>
        <w:rPr>
          <w:rFonts w:asciiTheme="minorHAnsi" w:hAnsiTheme="minorHAnsi" w:cstheme="minorHAnsi"/>
          <w:color w:val="0A0A0A"/>
          <w:spacing w:val="4"/>
          <w:shd w:val="clear" w:color="auto" w:fill="FEFEFE"/>
        </w:rPr>
      </w:pPr>
      <w:r w:rsidRPr="006E2022">
        <w:rPr>
          <w:color w:val="000000" w:themeColor="text1"/>
        </w:rPr>
        <w:t>Third, a</w:t>
      </w:r>
      <w:r w:rsidRPr="006E2022">
        <w:rPr>
          <w:rStyle w:val="EmailStyle24"/>
          <w:rFonts w:asciiTheme="minorHAnsi" w:hAnsiTheme="minorHAnsi" w:cstheme="minorHAnsi"/>
          <w:color w:val="000000" w:themeColor="text1"/>
        </w:rPr>
        <w:t xml:space="preserve"> </w:t>
      </w:r>
      <w:r w:rsidRPr="006E2022">
        <w:rPr>
          <w:rStyle w:val="EmailStyle24"/>
          <w:rFonts w:asciiTheme="minorHAnsi" w:hAnsiTheme="minorHAnsi" w:cstheme="minorHAnsi"/>
          <w:b/>
          <w:bCs/>
          <w:color w:val="000000" w:themeColor="text1"/>
          <w:u w:val="single"/>
        </w:rPr>
        <w:t>new social contract based on human rights</w:t>
      </w:r>
      <w:r w:rsidRPr="006E2022">
        <w:rPr>
          <w:rStyle w:val="EmailStyle24"/>
          <w:rFonts w:asciiTheme="minorHAnsi" w:hAnsiTheme="minorHAnsi" w:cstheme="minorHAnsi"/>
          <w:b/>
          <w:bCs/>
          <w:color w:val="000000" w:themeColor="text1"/>
        </w:rPr>
        <w:t xml:space="preserve"> </w:t>
      </w:r>
      <w:r w:rsidRPr="006E2022">
        <w:rPr>
          <w:rStyle w:val="EmailStyle24"/>
          <w:rFonts w:asciiTheme="minorHAnsi" w:hAnsiTheme="minorHAnsi" w:cstheme="minorHAnsi"/>
          <w:color w:val="000000" w:themeColor="text1"/>
        </w:rPr>
        <w:t xml:space="preserve">and equal opportunities for all is needed for the recovery. </w:t>
      </w:r>
      <w:r w:rsidRPr="006E2022">
        <w:rPr>
          <w:rFonts w:asciiTheme="minorHAnsi" w:hAnsiTheme="minorHAnsi" w:cstheme="minorHAnsi"/>
          <w:color w:val="0A0A0A"/>
          <w:spacing w:val="4"/>
          <w:shd w:val="clear" w:color="auto" w:fill="FEFEFE"/>
        </w:rPr>
        <w:t xml:space="preserve">We remain concerned, however, that emergency regulations put in place during COVID-19 may lead to </w:t>
      </w:r>
      <w:r w:rsidRPr="006E2022">
        <w:rPr>
          <w:rFonts w:asciiTheme="minorHAnsi" w:hAnsiTheme="minorHAnsi" w:cstheme="minorHAnsi"/>
        </w:rPr>
        <w:t xml:space="preserve">longer-term restrictions on human rights and civic space and undermine the rule of law. </w:t>
      </w:r>
      <w:bookmarkEnd w:id="0"/>
      <w:r w:rsidRPr="006E2022">
        <w:rPr>
          <w:rFonts w:asciiTheme="minorHAnsi" w:hAnsiTheme="minorHAnsi" w:cstheme="minorHAnsi"/>
        </w:rPr>
        <w:t xml:space="preserve">This is a particular concern in crisis contexts, </w:t>
      </w:r>
      <w:r w:rsidRPr="006E2022">
        <w:rPr>
          <w:rStyle w:val="EmailStyle24"/>
          <w:rFonts w:asciiTheme="minorHAnsi" w:hAnsiTheme="minorHAnsi" w:cstheme="minorHAnsi"/>
          <w:color w:val="000000" w:themeColor="text1"/>
        </w:rPr>
        <w:t>where COVID-19 has shone a harsh light on already existing structural inequalities and intersectional discrimination in societies, protests during the pandemic surpassed heights set in 2019.</w:t>
      </w:r>
      <w:r w:rsidRPr="006E2022">
        <w:rPr>
          <w:rFonts w:asciiTheme="minorHAnsi" w:eastAsiaTheme="minorEastAsia" w:hAnsiTheme="minorHAnsi" w:cstheme="minorBidi"/>
        </w:rPr>
        <w:t xml:space="preserve"> Concerns related to privacy, freedoms of expression, corruption and police brutality have spilled onto the streets and, in some cases, turned violent.</w:t>
      </w:r>
    </w:p>
    <w:p w14:paraId="3AFB2C79" w14:textId="77777777" w:rsidR="006E2022" w:rsidRPr="006E2022" w:rsidRDefault="006E2022" w:rsidP="006E2022">
      <w:pPr>
        <w:pStyle w:val="ListParagraph"/>
        <w:numPr>
          <w:ilvl w:val="0"/>
          <w:numId w:val="15"/>
        </w:numPr>
        <w:spacing w:line="276" w:lineRule="auto"/>
        <w:ind w:left="360"/>
        <w:contextualSpacing/>
        <w:rPr>
          <w:rFonts w:asciiTheme="minorHAnsi" w:hAnsiTheme="minorHAnsi" w:cstheme="minorHAnsi"/>
          <w:color w:val="000000" w:themeColor="text1"/>
        </w:rPr>
      </w:pPr>
      <w:r w:rsidRPr="001160AD">
        <w:rPr>
          <w:color w:val="000000" w:themeColor="text1"/>
        </w:rPr>
        <w:t xml:space="preserve">Fourth, </w:t>
      </w:r>
      <w:r w:rsidRPr="001A56F8">
        <w:rPr>
          <w:b/>
          <w:bCs/>
          <w:color w:val="000000" w:themeColor="text1"/>
          <w:u w:val="single"/>
        </w:rPr>
        <w:t>addressing the rise of information pollution</w:t>
      </w:r>
      <w:r w:rsidRPr="001A56F8">
        <w:rPr>
          <w:color w:val="000000" w:themeColor="text1"/>
        </w:rPr>
        <w:t xml:space="preserve"> across</w:t>
      </w:r>
      <w:r w:rsidRPr="001160AD">
        <w:rPr>
          <w:color w:val="000000" w:themeColor="text1"/>
        </w:rPr>
        <w:t xml:space="preserve"> the globe is fundamental to preventing the spread of misinformation related to COVID-19 but </w:t>
      </w:r>
      <w:r>
        <w:rPr>
          <w:color w:val="000000" w:themeColor="text1"/>
        </w:rPr>
        <w:t xml:space="preserve">also </w:t>
      </w:r>
      <w:r w:rsidRPr="001160AD">
        <w:rPr>
          <w:color w:val="000000" w:themeColor="text1"/>
        </w:rPr>
        <w:t xml:space="preserve">as a means of preventing </w:t>
      </w:r>
      <w:r>
        <w:rPr>
          <w:color w:val="000000" w:themeColor="text1"/>
        </w:rPr>
        <w:t xml:space="preserve">polarization </w:t>
      </w:r>
      <w:r w:rsidRPr="001160AD">
        <w:rPr>
          <w:color w:val="000000" w:themeColor="text1"/>
        </w:rPr>
        <w:t xml:space="preserve">and </w:t>
      </w:r>
      <w:r>
        <w:rPr>
          <w:color w:val="000000" w:themeColor="text1"/>
        </w:rPr>
        <w:t>intolerance</w:t>
      </w:r>
      <w:r w:rsidRPr="001160AD">
        <w:rPr>
          <w:color w:val="000000" w:themeColor="text1"/>
        </w:rPr>
        <w:t xml:space="preserve">. </w:t>
      </w:r>
      <w:r>
        <w:rPr>
          <w:color w:val="000000" w:themeColor="text1"/>
        </w:rPr>
        <w:t>In fragile and crisis contexts in particular, m</w:t>
      </w:r>
      <w:r w:rsidRPr="001160AD">
        <w:rPr>
          <w:color w:val="000000" w:themeColor="text1"/>
        </w:rPr>
        <w:t xml:space="preserve">isinformation and disinformation can result in loss of livelihoods, lead to insecurity and, at worst, result in lost lives. </w:t>
      </w:r>
    </w:p>
    <w:p w14:paraId="66737AE5" w14:textId="5156661B" w:rsidR="006E2022" w:rsidRDefault="006E2022" w:rsidP="006E2022">
      <w:pPr>
        <w:pStyle w:val="ListParagraph"/>
        <w:numPr>
          <w:ilvl w:val="0"/>
          <w:numId w:val="15"/>
        </w:numPr>
        <w:spacing w:line="276" w:lineRule="auto"/>
        <w:ind w:left="360"/>
        <w:contextualSpacing/>
        <w:rPr>
          <w:rFonts w:asciiTheme="minorHAnsi" w:hAnsiTheme="minorHAnsi" w:cstheme="minorHAnsi"/>
          <w:color w:val="000000" w:themeColor="text1"/>
        </w:rPr>
      </w:pPr>
      <w:r>
        <w:rPr>
          <w:rFonts w:asciiTheme="minorHAnsi" w:hAnsiTheme="minorHAnsi" w:cstheme="minorHAnsi"/>
          <w:color w:val="000000" w:themeColor="text1"/>
        </w:rPr>
        <w:t>Fifth</w:t>
      </w:r>
      <w:r w:rsidRPr="00FB519A">
        <w:rPr>
          <w:rFonts w:asciiTheme="minorHAnsi" w:hAnsiTheme="minorHAnsi" w:cstheme="minorHAnsi"/>
          <w:color w:val="000000" w:themeColor="text1"/>
        </w:rPr>
        <w:t xml:space="preserve">, </w:t>
      </w:r>
      <w:r w:rsidRPr="00FB519A">
        <w:rPr>
          <w:rFonts w:asciiTheme="minorHAnsi" w:hAnsiTheme="minorHAnsi" w:cstheme="minorHAnsi"/>
          <w:color w:val="000000" w:themeColor="text1"/>
          <w:u w:val="single"/>
        </w:rPr>
        <w:t>the pandemic has further emphasized the need for data and evidence-based policy making</w:t>
      </w:r>
      <w:r w:rsidRPr="00FB519A">
        <w:rPr>
          <w:rFonts w:asciiTheme="minorHAnsi" w:hAnsiTheme="minorHAnsi" w:cstheme="minorHAnsi"/>
          <w:color w:val="000000" w:themeColor="text1"/>
        </w:rPr>
        <w:t xml:space="preserve">. SDG 16 is an area where there is a </w:t>
      </w:r>
      <w:r w:rsidRPr="0041436C">
        <w:rPr>
          <w:rFonts w:asciiTheme="minorHAnsi" w:hAnsiTheme="minorHAnsi" w:cstheme="minorHAnsi"/>
          <w:b/>
          <w:bCs/>
          <w:color w:val="000000" w:themeColor="text1"/>
        </w:rPr>
        <w:t>significant data gap</w:t>
      </w:r>
      <w:r w:rsidRPr="00FB519A">
        <w:rPr>
          <w:rFonts w:asciiTheme="minorHAnsi" w:hAnsiTheme="minorHAnsi" w:cstheme="minorHAnsi"/>
          <w:color w:val="000000" w:themeColor="text1"/>
        </w:rPr>
        <w:t>. In a crisis such as this one, data on satisfaction with public services such as health or education, for example, can be critical to develop more nuanced policies. Significant investment</w:t>
      </w:r>
      <w:r>
        <w:rPr>
          <w:rFonts w:asciiTheme="minorHAnsi" w:hAnsiTheme="minorHAnsi" w:cstheme="minorHAnsi"/>
          <w:color w:val="000000" w:themeColor="text1"/>
        </w:rPr>
        <w:t xml:space="preserve"> is needed </w:t>
      </w:r>
      <w:r w:rsidRPr="00FB519A">
        <w:rPr>
          <w:rFonts w:asciiTheme="minorHAnsi" w:hAnsiTheme="minorHAnsi" w:cstheme="minorHAnsi"/>
          <w:color w:val="000000" w:themeColor="text1"/>
        </w:rPr>
        <w:t xml:space="preserve">in improving the availability of </w:t>
      </w:r>
      <w:r>
        <w:rPr>
          <w:rFonts w:asciiTheme="minorHAnsi" w:hAnsiTheme="minorHAnsi" w:cstheme="minorHAnsi"/>
          <w:color w:val="000000" w:themeColor="text1"/>
        </w:rPr>
        <w:t xml:space="preserve">high </w:t>
      </w:r>
      <w:r w:rsidRPr="00FB519A">
        <w:rPr>
          <w:rFonts w:asciiTheme="minorHAnsi" w:hAnsiTheme="minorHAnsi" w:cstheme="minorHAnsi"/>
          <w:color w:val="000000" w:themeColor="text1"/>
        </w:rPr>
        <w:t xml:space="preserve">quality, </w:t>
      </w:r>
      <w:r w:rsidRPr="00FB519A">
        <w:rPr>
          <w:rFonts w:asciiTheme="minorHAnsi" w:hAnsiTheme="minorHAnsi" w:cstheme="minorHAnsi"/>
          <w:color w:val="000000" w:themeColor="text1"/>
        </w:rPr>
        <w:lastRenderedPageBreak/>
        <w:t>reliable and timely data,</w:t>
      </w:r>
      <w:r>
        <w:rPr>
          <w:rFonts w:asciiTheme="minorHAnsi" w:hAnsiTheme="minorHAnsi" w:cstheme="minorHAnsi"/>
          <w:color w:val="000000" w:themeColor="text1"/>
        </w:rPr>
        <w:t xml:space="preserve"> and disaggregated data, to better understand who</w:t>
      </w:r>
      <w:r w:rsidRPr="00FB519A">
        <w:rPr>
          <w:rFonts w:asciiTheme="minorHAnsi" w:hAnsiTheme="minorHAnsi" w:cstheme="minorHAnsi"/>
          <w:color w:val="000000" w:themeColor="text1"/>
        </w:rPr>
        <w:t xml:space="preserve"> is being left behind. </w:t>
      </w:r>
      <w:r>
        <w:rPr>
          <w:rFonts w:asciiTheme="minorHAnsi" w:hAnsiTheme="minorHAnsi" w:cstheme="minorHAnsi"/>
          <w:color w:val="000000" w:themeColor="text1"/>
        </w:rPr>
        <w:t>UNDP is working with UNODC and OHCHR to currently support piloting the SDG 16 Survey which measures governance, discrimination, access to justice, violence, corruption and human trafficking.</w:t>
      </w:r>
    </w:p>
    <w:p w14:paraId="773E9ED2" w14:textId="77777777" w:rsidR="006E2022" w:rsidRDefault="006E2022" w:rsidP="006E2022">
      <w:pPr>
        <w:pStyle w:val="ListParagraph"/>
        <w:numPr>
          <w:ilvl w:val="1"/>
          <w:numId w:val="16"/>
        </w:numPr>
        <w:spacing w:after="200" w:line="276" w:lineRule="auto"/>
        <w:ind w:left="360"/>
        <w:contextualSpacing/>
        <w:rPr>
          <w:rFonts w:asciiTheme="minorHAnsi" w:hAnsiTheme="minorHAnsi" w:cstheme="minorHAnsi"/>
          <w:color w:val="000000" w:themeColor="text1"/>
        </w:rPr>
      </w:pPr>
      <w:r w:rsidRPr="00C04C6D">
        <w:rPr>
          <w:rFonts w:asciiTheme="minorHAnsi" w:hAnsiTheme="minorHAnsi" w:cstheme="minorHAnsi"/>
          <w:color w:val="000000" w:themeColor="text1"/>
        </w:rPr>
        <w:t>Finally, while the pandemic’s impacts are being felt in all environments</w:t>
      </w:r>
      <w:r w:rsidRPr="00C04C6D">
        <w:rPr>
          <w:rFonts w:asciiTheme="minorHAnsi" w:hAnsiTheme="minorHAnsi" w:cstheme="minorHAnsi"/>
          <w:color w:val="000000" w:themeColor="text1"/>
          <w:u w:val="single"/>
        </w:rPr>
        <w:t xml:space="preserve"> – its destructive potential is most evident in crisis-affected contexts</w:t>
      </w:r>
      <w:r w:rsidRPr="00C04C6D">
        <w:rPr>
          <w:rFonts w:asciiTheme="minorHAnsi" w:hAnsiTheme="minorHAnsi" w:cstheme="minorHAnsi"/>
          <w:color w:val="000000" w:themeColor="text1"/>
        </w:rPr>
        <w:t xml:space="preserve">, which tend to be more vulnerable to shocks from the crisis and less able to address its fallout. </w:t>
      </w:r>
      <w:r w:rsidRPr="005768FE">
        <w:rPr>
          <w:rFonts w:asciiTheme="minorHAnsi" w:hAnsiTheme="minorHAnsi" w:cstheme="minorHAnsi"/>
          <w:color w:val="000000" w:themeColor="text1"/>
        </w:rPr>
        <w:t xml:space="preserve">Even before the shock of COVID-19, most fragile contexts were </w:t>
      </w:r>
      <w:r>
        <w:rPr>
          <w:rFonts w:asciiTheme="minorHAnsi" w:hAnsiTheme="minorHAnsi" w:cstheme="minorHAnsi"/>
          <w:color w:val="000000" w:themeColor="text1"/>
        </w:rPr>
        <w:t>not on track to meet most SDGs. In many contexts we now see significant reversals.</w:t>
      </w:r>
    </w:p>
    <w:p w14:paraId="52F227E3" w14:textId="77777777" w:rsidR="000F1300" w:rsidRDefault="000F1300" w:rsidP="000F1300">
      <w:pPr>
        <w:rPr>
          <w:rFonts w:asciiTheme="minorHAnsi" w:hAnsiTheme="minorHAnsi" w:cstheme="minorBidi"/>
        </w:rPr>
      </w:pPr>
      <w:r>
        <w:rPr>
          <w:rFonts w:asciiTheme="minorHAnsi" w:hAnsiTheme="minorHAnsi" w:cstheme="minorBidi"/>
          <w:b/>
          <w:bCs/>
        </w:rPr>
        <w:t xml:space="preserve">SDG 16 Interlinkages - </w:t>
      </w:r>
      <w:r>
        <w:rPr>
          <w:b/>
          <w:bCs/>
        </w:rPr>
        <w:t>How does Progress on SDG 16 affect progress on other SDGs?</w:t>
      </w:r>
    </w:p>
    <w:p w14:paraId="6854A91C" w14:textId="77777777" w:rsidR="00A56F7F" w:rsidRDefault="00A56F7F" w:rsidP="00A56F7F">
      <w:pPr>
        <w:widowControl w:val="0"/>
        <w:textAlignment w:val="baseline"/>
        <w:rPr>
          <w:rFonts w:asciiTheme="minorHAnsi" w:hAnsiTheme="minorHAnsi" w:cs="Arial"/>
          <w:lang w:eastAsia="en-GB"/>
        </w:rPr>
      </w:pPr>
    </w:p>
    <w:p w14:paraId="055F4E75" w14:textId="31E99061" w:rsidR="000F1300" w:rsidRDefault="000F1300" w:rsidP="00A56F7F">
      <w:pPr>
        <w:widowControl w:val="0"/>
        <w:textAlignment w:val="baseline"/>
        <w:rPr>
          <w:rFonts w:asciiTheme="minorHAnsi" w:hAnsiTheme="minorHAnsi" w:cstheme="minorBidi"/>
          <w:b/>
          <w:bCs/>
          <w:caps/>
        </w:rPr>
      </w:pPr>
      <w:r>
        <w:rPr>
          <w:rFonts w:asciiTheme="minorHAnsi" w:hAnsiTheme="minorHAnsi" w:cs="Arial"/>
          <w:lang w:eastAsia="en-GB"/>
        </w:rPr>
        <w:t xml:space="preserve">‘SDG 16 interlinkages’ are here referred to as a situation when </w:t>
      </w:r>
      <w:r>
        <w:rPr>
          <w:rFonts w:asciiTheme="minorHAnsi" w:hAnsiTheme="minorHAnsi" w:cs="Arial"/>
          <w:i/>
          <w:iCs/>
          <w:lang w:eastAsia="en-GB"/>
        </w:rPr>
        <w:t>Peace, Justice and Inclusion enable or hinder progress on the other goals or when other goals enable or hinder progress on Peace, Justice and Inclusion</w:t>
      </w:r>
      <w:r>
        <w:rPr>
          <w:rFonts w:asciiTheme="minorHAnsi" w:hAnsiTheme="minorHAnsi" w:cs="Arial"/>
          <w:lang w:eastAsia="en-GB"/>
        </w:rPr>
        <w:t xml:space="preserve"> – the focus of the present initiative being on the former.</w:t>
      </w:r>
      <w:r w:rsidR="00A56F7F">
        <w:rPr>
          <w:rFonts w:asciiTheme="minorHAnsi" w:hAnsiTheme="minorHAnsi" w:cs="Arial"/>
          <w:lang w:eastAsia="en-GB"/>
        </w:rPr>
        <w:t xml:space="preserve"> Below are some preliminary findings of research with the </w:t>
      </w:r>
      <w:r w:rsidR="00A56F7F">
        <w:rPr>
          <w:rFonts w:asciiTheme="minorHAnsi" w:eastAsia="Times New Roman" w:hAnsiTheme="minorHAnsi" w:cs="Times New Roman"/>
          <w:i/>
          <w:iCs/>
          <w:lang w:val="en-ZA"/>
        </w:rPr>
        <w:t>Institute for Economics and Peace (IEP) and</w:t>
      </w:r>
      <w:r w:rsidR="00A56F7F" w:rsidRPr="00A56F7F">
        <w:rPr>
          <w:rFonts w:asciiTheme="minorHAnsi" w:eastAsia="Times New Roman" w:hAnsiTheme="minorHAnsi" w:cs="Times New Roman"/>
          <w:i/>
          <w:iCs/>
          <w:lang w:val="en-ZA"/>
        </w:rPr>
        <w:t xml:space="preserve"> </w:t>
      </w:r>
      <w:r w:rsidR="00A56F7F">
        <w:rPr>
          <w:rFonts w:asciiTheme="minorHAnsi" w:eastAsia="Times New Roman" w:hAnsiTheme="minorHAnsi" w:cs="Times New Roman"/>
          <w:i/>
          <w:iCs/>
          <w:lang w:val="en-ZA"/>
        </w:rPr>
        <w:t>German Institute for Development Policy (DIE).</w:t>
      </w:r>
    </w:p>
    <w:p w14:paraId="34518205" w14:textId="77777777" w:rsidR="000F1300" w:rsidRDefault="000F1300" w:rsidP="000F1300">
      <w:pPr>
        <w:rPr>
          <w:rFonts w:asciiTheme="minorHAnsi" w:hAnsiTheme="minorHAnsi" w:cstheme="minorBidi"/>
          <w:b/>
          <w:bCs/>
        </w:rPr>
      </w:pPr>
    </w:p>
    <w:p w14:paraId="0D16CCE6" w14:textId="77777777" w:rsidR="0087675B" w:rsidRPr="0087675B" w:rsidRDefault="0087675B" w:rsidP="0087675B">
      <w:pPr>
        <w:spacing w:after="240"/>
        <w:rPr>
          <w:rFonts w:asciiTheme="minorHAnsi" w:eastAsia="Times New Roman" w:hAnsiTheme="minorHAnsi" w:cstheme="minorHAnsi"/>
          <w:b/>
          <w:bCs/>
          <w:color w:val="000000"/>
        </w:rPr>
      </w:pPr>
      <w:r w:rsidRPr="0087675B">
        <w:rPr>
          <w:rFonts w:asciiTheme="minorHAnsi" w:eastAsia="Times New Roman" w:hAnsiTheme="minorHAnsi" w:cstheme="minorHAnsi"/>
          <w:b/>
          <w:bCs/>
          <w:color w:val="000000"/>
        </w:rPr>
        <w:t>PRELIMINARY CONCLUSIONS</w:t>
      </w:r>
    </w:p>
    <w:p w14:paraId="4245C871" w14:textId="1F6B45D4" w:rsidR="0087675B" w:rsidRDefault="0087675B" w:rsidP="00A56F7F">
      <w:pPr>
        <w:pStyle w:val="ListParagraph"/>
        <w:numPr>
          <w:ilvl w:val="0"/>
          <w:numId w:val="23"/>
        </w:numPr>
        <w:spacing w:after="240"/>
        <w:rPr>
          <w:rFonts w:asciiTheme="minorHAnsi" w:eastAsia="Times New Roman" w:hAnsiTheme="minorHAnsi" w:cstheme="minorHAnsi"/>
          <w:color w:val="000000"/>
        </w:rPr>
      </w:pPr>
      <w:r w:rsidRPr="0087675B">
        <w:rPr>
          <w:rFonts w:asciiTheme="minorHAnsi" w:eastAsia="Times New Roman" w:hAnsiTheme="minorHAnsi" w:cstheme="minorHAnsi"/>
          <w:color w:val="000000"/>
        </w:rPr>
        <w:t xml:space="preserve">Current </w:t>
      </w:r>
      <w:r w:rsidRPr="0087675B">
        <w:rPr>
          <w:rFonts w:asciiTheme="minorHAnsi" w:eastAsia="Times New Roman" w:hAnsiTheme="minorHAnsi" w:cstheme="minorHAnsi"/>
          <w:b/>
          <w:bCs/>
          <w:color w:val="000000"/>
        </w:rPr>
        <w:t>data scarcity</w:t>
      </w:r>
      <w:r w:rsidRPr="0087675B">
        <w:rPr>
          <w:rFonts w:asciiTheme="minorHAnsi" w:eastAsia="Times New Roman" w:hAnsiTheme="minorHAnsi" w:cstheme="minorHAnsi"/>
          <w:color w:val="000000"/>
        </w:rPr>
        <w:t xml:space="preserve"> on SDG 16 indicators make the </w:t>
      </w:r>
      <w:r w:rsidR="008526E7" w:rsidRPr="008526E7">
        <w:rPr>
          <w:rFonts w:asciiTheme="minorHAnsi" w:eastAsia="Times New Roman" w:hAnsiTheme="minorHAnsi" w:cstheme="minorHAnsi"/>
          <w:i/>
          <w:iCs/>
          <w:color w:val="000000"/>
        </w:rPr>
        <w:t xml:space="preserve">statistical </w:t>
      </w:r>
      <w:r w:rsidRPr="008526E7">
        <w:rPr>
          <w:rFonts w:asciiTheme="minorHAnsi" w:eastAsia="Times New Roman" w:hAnsiTheme="minorHAnsi" w:cstheme="minorHAnsi"/>
          <w:i/>
          <w:iCs/>
          <w:color w:val="000000"/>
        </w:rPr>
        <w:t>analysis</w:t>
      </w:r>
      <w:r w:rsidRPr="0087675B">
        <w:rPr>
          <w:rFonts w:asciiTheme="minorHAnsi" w:eastAsia="Times New Roman" w:hAnsiTheme="minorHAnsi" w:cstheme="minorHAnsi"/>
          <w:color w:val="000000"/>
        </w:rPr>
        <w:t xml:space="preserve"> of SDG 16 interlinkages challenging and require the use of proxies. This </w:t>
      </w:r>
      <w:r w:rsidRPr="0087675B">
        <w:rPr>
          <w:rFonts w:asciiTheme="minorHAnsi" w:eastAsia="Times New Roman" w:hAnsiTheme="minorHAnsi" w:cstheme="minorHAnsi"/>
          <w:b/>
          <w:bCs/>
          <w:color w:val="000000"/>
        </w:rPr>
        <w:t>should improve</w:t>
      </w:r>
      <w:r w:rsidRPr="0087675B">
        <w:rPr>
          <w:rFonts w:asciiTheme="minorHAnsi" w:eastAsia="Times New Roman" w:hAnsiTheme="minorHAnsi" w:cstheme="minorHAnsi"/>
          <w:color w:val="000000"/>
        </w:rPr>
        <w:t xml:space="preserve"> significantly as countries start using the newly developed methodologies to collect data on SDG 16 indicators. </w:t>
      </w:r>
    </w:p>
    <w:p w14:paraId="7BD91BC7" w14:textId="2E9B81A6" w:rsidR="0087675B" w:rsidRDefault="0087675B" w:rsidP="00A56F7F">
      <w:pPr>
        <w:pStyle w:val="ListParagraph"/>
        <w:numPr>
          <w:ilvl w:val="0"/>
          <w:numId w:val="23"/>
        </w:numPr>
        <w:spacing w:after="240"/>
        <w:rPr>
          <w:rFonts w:asciiTheme="minorHAnsi" w:eastAsia="Times New Roman" w:hAnsiTheme="minorHAnsi" w:cstheme="minorHAnsi"/>
          <w:color w:val="000000"/>
        </w:rPr>
      </w:pPr>
      <w:r w:rsidRPr="0087675B">
        <w:rPr>
          <w:rFonts w:asciiTheme="minorHAnsi" w:eastAsia="Times New Roman" w:hAnsiTheme="minorHAnsi" w:cstheme="minorHAnsi"/>
          <w:color w:val="000000"/>
        </w:rPr>
        <w:t xml:space="preserve">Despite this fact, it is possible to identify SDG 16 indicators </w:t>
      </w:r>
      <w:r w:rsidRPr="0087675B">
        <w:rPr>
          <w:rFonts w:asciiTheme="minorHAnsi" w:eastAsia="Times New Roman" w:hAnsiTheme="minorHAnsi" w:cstheme="minorHAnsi"/>
          <w:b/>
          <w:bCs/>
          <w:color w:val="000000"/>
        </w:rPr>
        <w:t>across countries</w:t>
      </w:r>
      <w:r w:rsidRPr="0087675B">
        <w:rPr>
          <w:rFonts w:asciiTheme="minorHAnsi" w:eastAsia="Times New Roman" w:hAnsiTheme="minorHAnsi" w:cstheme="minorHAnsi"/>
          <w:color w:val="000000"/>
        </w:rPr>
        <w:t xml:space="preserve"> that have particularly strong statistical connections with other SDGs. In our study, these are: </w:t>
      </w:r>
      <w:r>
        <w:rPr>
          <w:rFonts w:asciiTheme="minorHAnsi" w:eastAsiaTheme="majorEastAsia" w:hAnsiTheme="minorHAnsi" w:cstheme="minorHAnsi"/>
        </w:rPr>
        <w:t>16.b.1 on Discrimination, 16.10.2 on Access to Information, 16.5.2 on Absence of Bribery and 16.9.1 on Birth Registrations.</w:t>
      </w:r>
      <w:r w:rsidRPr="0087675B">
        <w:rPr>
          <w:rFonts w:asciiTheme="minorHAnsi" w:eastAsia="Times New Roman" w:hAnsiTheme="minorHAnsi" w:cstheme="minorHAnsi"/>
          <w:color w:val="000000"/>
        </w:rPr>
        <w:t xml:space="preserve"> While such correlations do not equal causality, they are a useful starting point for analysis which could yield policy guidance.</w:t>
      </w:r>
    </w:p>
    <w:p w14:paraId="6BE3C3EA" w14:textId="77777777" w:rsidR="0087675B" w:rsidRDefault="0087675B" w:rsidP="00A56F7F">
      <w:pPr>
        <w:pStyle w:val="ListParagraph"/>
        <w:numPr>
          <w:ilvl w:val="0"/>
          <w:numId w:val="23"/>
        </w:numPr>
        <w:spacing w:after="240"/>
        <w:rPr>
          <w:rFonts w:asciiTheme="minorHAnsi" w:eastAsia="Times New Roman" w:hAnsiTheme="minorHAnsi" w:cstheme="minorHAnsi"/>
          <w:color w:val="000000"/>
        </w:rPr>
      </w:pPr>
      <w:r w:rsidRPr="0087675B">
        <w:rPr>
          <w:rFonts w:asciiTheme="minorHAnsi" w:eastAsia="Times New Roman" w:hAnsiTheme="minorHAnsi" w:cstheme="minorHAnsi"/>
          <w:color w:val="000000"/>
        </w:rPr>
        <w:t xml:space="preserve">Further, where </w:t>
      </w:r>
      <w:r w:rsidRPr="0087675B">
        <w:rPr>
          <w:rFonts w:asciiTheme="minorHAnsi" w:eastAsia="Times New Roman" w:hAnsiTheme="minorHAnsi" w:cstheme="minorHAnsi"/>
          <w:b/>
          <w:bCs/>
          <w:color w:val="000000"/>
        </w:rPr>
        <w:t xml:space="preserve">country </w:t>
      </w:r>
      <w:r w:rsidRPr="0087675B">
        <w:rPr>
          <w:rFonts w:asciiTheme="minorHAnsi" w:eastAsia="Times New Roman" w:hAnsiTheme="minorHAnsi" w:cstheme="minorHAnsi"/>
          <w:color w:val="000000"/>
        </w:rPr>
        <w:t xml:space="preserve">data exists, it is possible to deepen the statistical analysis by identifying SDG 16 indicators that improve or deteriorate together with other SDG indicators over time. While, again, results do not imply causality, they make it possible to investigate previous policy interventions in a specific country that can provide useful information for future policy making. </w:t>
      </w:r>
    </w:p>
    <w:p w14:paraId="38BF376D" w14:textId="740D5852" w:rsidR="000F1300" w:rsidRDefault="0087675B" w:rsidP="00A56F7F">
      <w:pPr>
        <w:pStyle w:val="ListParagraph"/>
        <w:numPr>
          <w:ilvl w:val="0"/>
          <w:numId w:val="23"/>
        </w:numPr>
        <w:spacing w:after="240"/>
        <w:rPr>
          <w:rFonts w:asciiTheme="minorHAnsi" w:eastAsia="Times New Roman" w:hAnsiTheme="minorHAnsi" w:cstheme="minorHAnsi"/>
          <w:color w:val="000000"/>
        </w:rPr>
      </w:pPr>
      <w:r w:rsidRPr="0087675B">
        <w:rPr>
          <w:rFonts w:asciiTheme="minorHAnsi" w:eastAsia="Times New Roman" w:hAnsiTheme="minorHAnsi" w:cstheme="minorHAnsi"/>
          <w:color w:val="000000"/>
        </w:rPr>
        <w:t xml:space="preserve">Where the power of statistical analysis ends, the </w:t>
      </w:r>
      <w:r w:rsidRPr="0087675B">
        <w:rPr>
          <w:rFonts w:asciiTheme="minorHAnsi" w:eastAsia="Times New Roman" w:hAnsiTheme="minorHAnsi" w:cstheme="minorHAnsi"/>
          <w:b/>
          <w:bCs/>
          <w:color w:val="000000"/>
        </w:rPr>
        <w:t xml:space="preserve">review of relevant literature can provide additional information, </w:t>
      </w:r>
      <w:r w:rsidRPr="0087675B">
        <w:rPr>
          <w:rFonts w:asciiTheme="minorHAnsi" w:eastAsia="Times New Roman" w:hAnsiTheme="minorHAnsi" w:cstheme="minorHAnsi"/>
          <w:color w:val="000000"/>
        </w:rPr>
        <w:t>including</w:t>
      </w:r>
      <w:r w:rsidRPr="0087675B">
        <w:rPr>
          <w:rFonts w:asciiTheme="minorHAnsi" w:eastAsia="Times New Roman" w:hAnsiTheme="minorHAnsi" w:cstheme="minorHAnsi"/>
          <w:b/>
          <w:bCs/>
          <w:color w:val="000000"/>
        </w:rPr>
        <w:t> </w:t>
      </w:r>
      <w:r w:rsidRPr="0087675B">
        <w:rPr>
          <w:rFonts w:asciiTheme="minorHAnsi" w:eastAsia="Times New Roman" w:hAnsiTheme="minorHAnsi" w:cstheme="minorHAnsi"/>
          <w:color w:val="000000"/>
        </w:rPr>
        <w:t xml:space="preserve">on causality. Our </w:t>
      </w:r>
      <w:r w:rsidRPr="008526E7">
        <w:rPr>
          <w:rFonts w:asciiTheme="minorHAnsi" w:eastAsia="Times New Roman" w:hAnsiTheme="minorHAnsi" w:cstheme="minorHAnsi"/>
          <w:i/>
          <w:iCs/>
          <w:color w:val="000000"/>
        </w:rPr>
        <w:t>scoping literature review</w:t>
      </w:r>
      <w:r w:rsidRPr="0087675B">
        <w:rPr>
          <w:rFonts w:asciiTheme="minorHAnsi" w:eastAsia="Times New Roman" w:hAnsiTheme="minorHAnsi" w:cstheme="minorHAnsi"/>
          <w:color w:val="000000"/>
        </w:rPr>
        <w:t xml:space="preserve"> is looking at effects of certain aspects of SDG 16 </w:t>
      </w:r>
      <w:r>
        <w:rPr>
          <w:rFonts w:asciiTheme="minorHAnsi" w:eastAsia="Times New Roman" w:hAnsiTheme="minorHAnsi" w:cstheme="minorHAnsi"/>
          <w:color w:val="000000"/>
        </w:rPr>
        <w:t xml:space="preserve">(Accountability, Transparency and Participation &amp; Inclusion) </w:t>
      </w:r>
      <w:r w:rsidRPr="0087675B">
        <w:rPr>
          <w:rFonts w:asciiTheme="minorHAnsi" w:eastAsia="Times New Roman" w:hAnsiTheme="minorHAnsi" w:cstheme="minorHAnsi"/>
          <w:color w:val="000000"/>
        </w:rPr>
        <w:t>on certain aspects of SDGs 1 and 10</w:t>
      </w:r>
      <w:r>
        <w:rPr>
          <w:rFonts w:asciiTheme="minorHAnsi" w:eastAsia="Times New Roman" w:hAnsiTheme="minorHAnsi" w:cstheme="minorHAnsi"/>
          <w:color w:val="000000"/>
        </w:rPr>
        <w:t xml:space="preserve"> (Social Protection, Poverty Reduction and Equal Opportunity)</w:t>
      </w:r>
      <w:r w:rsidRPr="0087675B">
        <w:rPr>
          <w:rFonts w:asciiTheme="minorHAnsi" w:eastAsia="Times New Roman" w:hAnsiTheme="minorHAnsi" w:cstheme="minorHAnsi"/>
          <w:color w:val="000000"/>
        </w:rPr>
        <w:t>. It finds that, for example, an increase in inclusion and participation has strong effect</w:t>
      </w:r>
      <w:r>
        <w:rPr>
          <w:rFonts w:asciiTheme="minorHAnsi" w:eastAsia="Times New Roman" w:hAnsiTheme="minorHAnsi" w:cstheme="minorHAnsi"/>
          <w:color w:val="000000"/>
        </w:rPr>
        <w:t>s</w:t>
      </w:r>
      <w:r w:rsidRPr="0087675B">
        <w:rPr>
          <w:rFonts w:asciiTheme="minorHAnsi" w:eastAsia="Times New Roman" w:hAnsiTheme="minorHAnsi" w:cstheme="minorHAnsi"/>
          <w:color w:val="000000"/>
        </w:rPr>
        <w:t xml:space="preserve"> on social protection, through the </w:t>
      </w:r>
      <w:r w:rsidR="009044E6">
        <w:rPr>
          <w:rFonts w:asciiTheme="minorHAnsi" w:eastAsia="Times New Roman" w:hAnsiTheme="minorHAnsi" w:cstheme="minorHAnsi"/>
          <w:color w:val="000000"/>
        </w:rPr>
        <w:t>access to basic</w:t>
      </w:r>
      <w:r w:rsidRPr="0087675B">
        <w:rPr>
          <w:rFonts w:asciiTheme="minorHAnsi" w:eastAsia="Times New Roman" w:hAnsiTheme="minorHAnsi" w:cstheme="minorHAnsi"/>
          <w:color w:val="000000"/>
        </w:rPr>
        <w:t xml:space="preserve"> services. We are still analysing these pathways in more detail</w:t>
      </w:r>
      <w:r w:rsidR="009044E6">
        <w:rPr>
          <w:rFonts w:asciiTheme="minorHAnsi" w:eastAsia="Times New Roman" w:hAnsiTheme="minorHAnsi" w:cstheme="minorHAnsi"/>
          <w:color w:val="000000"/>
        </w:rPr>
        <w:t xml:space="preserve"> and will share those at the HLPF</w:t>
      </w:r>
      <w:r w:rsidRPr="0087675B">
        <w:rPr>
          <w:rFonts w:asciiTheme="minorHAnsi" w:eastAsia="Times New Roman" w:hAnsiTheme="minorHAnsi" w:cstheme="minorHAnsi"/>
          <w:color w:val="000000"/>
        </w:rPr>
        <w:t>.</w:t>
      </w:r>
    </w:p>
    <w:p w14:paraId="7461B21B" w14:textId="4F0EAB47" w:rsidR="007F5D27" w:rsidRPr="00532640" w:rsidRDefault="009044E6" w:rsidP="00A56F7F">
      <w:pPr>
        <w:pStyle w:val="ListParagraph"/>
        <w:numPr>
          <w:ilvl w:val="0"/>
          <w:numId w:val="23"/>
        </w:numPr>
        <w:spacing w:after="240"/>
        <w:rPr>
          <w:rFonts w:asciiTheme="minorHAnsi" w:eastAsia="Times New Roman" w:hAnsiTheme="minorHAnsi" w:cstheme="minorHAnsi"/>
          <w:color w:val="000000"/>
        </w:rPr>
      </w:pPr>
      <w:r>
        <w:rPr>
          <w:rFonts w:asciiTheme="minorHAnsi" w:eastAsia="Times New Roman" w:hAnsiTheme="minorHAnsi" w:cstheme="minorHAnsi"/>
          <w:color w:val="000000"/>
        </w:rPr>
        <w:t>These preliminary results</w:t>
      </w:r>
      <w:r w:rsidR="00815F0C">
        <w:rPr>
          <w:rFonts w:asciiTheme="minorHAnsi" w:eastAsia="Times New Roman" w:hAnsiTheme="minorHAnsi" w:cstheme="minorHAnsi"/>
          <w:color w:val="000000"/>
        </w:rPr>
        <w:t xml:space="preserve"> are </w:t>
      </w:r>
      <w:r w:rsidR="00815F0C" w:rsidRPr="00815F0C">
        <w:rPr>
          <w:rFonts w:asciiTheme="minorHAnsi" w:eastAsia="Times New Roman" w:hAnsiTheme="minorHAnsi" w:cstheme="minorHAnsi"/>
          <w:b/>
          <w:bCs/>
          <w:color w:val="000000"/>
        </w:rPr>
        <w:t>relevant from both a political and a practical perspective</w:t>
      </w:r>
      <w:r w:rsidR="00815F0C">
        <w:rPr>
          <w:rFonts w:asciiTheme="minorHAnsi" w:eastAsia="Times New Roman" w:hAnsiTheme="minorHAnsi" w:cstheme="minorHAnsi"/>
          <w:color w:val="000000"/>
        </w:rPr>
        <w:t xml:space="preserve">: </w:t>
      </w:r>
      <w:r w:rsidR="007F5D27" w:rsidRPr="007F5D27">
        <w:rPr>
          <w:rFonts w:asciiTheme="minorHAnsi" w:eastAsia="Times New Roman" w:hAnsiTheme="minorHAnsi" w:cstheme="minorHAnsi"/>
          <w:color w:val="000000"/>
        </w:rPr>
        <w:t xml:space="preserve">While it is often claimed that </w:t>
      </w:r>
      <w:r w:rsidR="007F5D27">
        <w:rPr>
          <w:rFonts w:asciiTheme="minorHAnsi" w:eastAsia="Times New Roman" w:hAnsiTheme="minorHAnsi" w:cstheme="minorHAnsi"/>
          <w:color w:val="000000"/>
        </w:rPr>
        <w:t xml:space="preserve">the </w:t>
      </w:r>
      <w:r w:rsidR="00532640">
        <w:rPr>
          <w:rFonts w:asciiTheme="minorHAnsi" w:eastAsia="Times New Roman" w:hAnsiTheme="minorHAnsi" w:cstheme="minorHAnsi"/>
          <w:color w:val="000000"/>
        </w:rPr>
        <w:t>effects</w:t>
      </w:r>
      <w:r w:rsidR="007F5D27">
        <w:rPr>
          <w:rFonts w:asciiTheme="minorHAnsi" w:eastAsia="Times New Roman" w:hAnsiTheme="minorHAnsi" w:cstheme="minorHAnsi"/>
          <w:color w:val="000000"/>
        </w:rPr>
        <w:t xml:space="preserve"> of </w:t>
      </w:r>
      <w:r w:rsidR="007F5D27" w:rsidRPr="007F5D27">
        <w:rPr>
          <w:rFonts w:asciiTheme="minorHAnsi" w:eastAsia="Times New Roman" w:hAnsiTheme="minorHAnsi" w:cstheme="minorHAnsi"/>
          <w:color w:val="000000"/>
        </w:rPr>
        <w:t xml:space="preserve">governance </w:t>
      </w:r>
      <w:r w:rsidR="00532640">
        <w:rPr>
          <w:rFonts w:asciiTheme="minorHAnsi" w:eastAsia="Times New Roman" w:hAnsiTheme="minorHAnsi" w:cstheme="minorHAnsi"/>
          <w:color w:val="000000"/>
        </w:rPr>
        <w:t xml:space="preserve">on socio-economic-environmental outcomes </w:t>
      </w:r>
      <w:r w:rsidR="007F5D27" w:rsidRPr="007F5D27">
        <w:rPr>
          <w:rFonts w:asciiTheme="minorHAnsi" w:eastAsia="Times New Roman" w:hAnsiTheme="minorHAnsi" w:cstheme="minorHAnsi"/>
          <w:color w:val="000000"/>
        </w:rPr>
        <w:t xml:space="preserve">are hard to </w:t>
      </w:r>
      <w:r w:rsidR="007F5D27">
        <w:rPr>
          <w:rFonts w:asciiTheme="minorHAnsi" w:eastAsia="Times New Roman" w:hAnsiTheme="minorHAnsi" w:cstheme="minorHAnsi"/>
          <w:color w:val="000000"/>
        </w:rPr>
        <w:t>prove</w:t>
      </w:r>
      <w:r w:rsidR="007F5D27" w:rsidRPr="007F5D27">
        <w:rPr>
          <w:rFonts w:asciiTheme="minorHAnsi" w:eastAsia="Times New Roman" w:hAnsiTheme="minorHAnsi" w:cstheme="minorHAnsi"/>
          <w:color w:val="000000"/>
        </w:rPr>
        <w:t xml:space="preserve">, </w:t>
      </w:r>
      <w:r w:rsidR="00532640">
        <w:rPr>
          <w:rFonts w:asciiTheme="minorHAnsi" w:eastAsia="Times New Roman" w:hAnsiTheme="minorHAnsi" w:cstheme="minorHAnsi"/>
          <w:color w:val="000000"/>
        </w:rPr>
        <w:t>our</w:t>
      </w:r>
      <w:r w:rsidR="007F5D27">
        <w:rPr>
          <w:rFonts w:asciiTheme="minorHAnsi" w:eastAsia="Times New Roman" w:hAnsiTheme="minorHAnsi" w:cstheme="minorHAnsi"/>
          <w:color w:val="000000"/>
        </w:rPr>
        <w:t xml:space="preserve"> results </w:t>
      </w:r>
      <w:r w:rsidR="007F5D27" w:rsidRPr="007F5D27">
        <w:rPr>
          <w:rFonts w:asciiTheme="minorHAnsi" w:eastAsia="Times New Roman" w:hAnsiTheme="minorHAnsi" w:cstheme="minorHAnsi"/>
          <w:color w:val="000000"/>
        </w:rPr>
        <w:t xml:space="preserve">show that </w:t>
      </w:r>
      <w:r w:rsidR="007F5D27">
        <w:rPr>
          <w:rFonts w:asciiTheme="minorHAnsi" w:eastAsia="Times New Roman" w:hAnsiTheme="minorHAnsi" w:cstheme="minorHAnsi"/>
          <w:color w:val="000000"/>
        </w:rPr>
        <w:t xml:space="preserve">there are </w:t>
      </w:r>
      <w:r w:rsidR="00532640">
        <w:rPr>
          <w:rFonts w:asciiTheme="minorHAnsi" w:eastAsia="Times New Roman" w:hAnsiTheme="minorHAnsi" w:cstheme="minorHAnsi"/>
          <w:color w:val="000000"/>
        </w:rPr>
        <w:t xml:space="preserve">indeed </w:t>
      </w:r>
      <w:r w:rsidR="007F5D27">
        <w:rPr>
          <w:rFonts w:asciiTheme="minorHAnsi" w:eastAsia="Times New Roman" w:hAnsiTheme="minorHAnsi" w:cstheme="minorHAnsi"/>
          <w:color w:val="000000"/>
        </w:rPr>
        <w:t xml:space="preserve">ways to measure </w:t>
      </w:r>
      <w:r w:rsidR="00532640">
        <w:rPr>
          <w:rFonts w:asciiTheme="minorHAnsi" w:eastAsia="Times New Roman" w:hAnsiTheme="minorHAnsi" w:cstheme="minorHAnsi"/>
          <w:color w:val="000000"/>
        </w:rPr>
        <w:t>such effects</w:t>
      </w:r>
      <w:r w:rsidR="007F5D27">
        <w:rPr>
          <w:rFonts w:asciiTheme="minorHAnsi" w:eastAsia="Times New Roman" w:hAnsiTheme="minorHAnsi" w:cstheme="minorHAnsi"/>
          <w:color w:val="000000"/>
        </w:rPr>
        <w:t xml:space="preserve"> and </w:t>
      </w:r>
      <w:r w:rsidR="007F5D27" w:rsidRPr="007F5D27">
        <w:rPr>
          <w:rFonts w:asciiTheme="minorHAnsi" w:eastAsia="Times New Roman" w:hAnsiTheme="minorHAnsi" w:cstheme="minorHAnsi"/>
          <w:color w:val="000000"/>
        </w:rPr>
        <w:t xml:space="preserve">we can find </w:t>
      </w:r>
      <w:r w:rsidR="007F5D27">
        <w:rPr>
          <w:rFonts w:asciiTheme="minorHAnsi" w:eastAsia="Times New Roman" w:hAnsiTheme="minorHAnsi" w:cstheme="minorHAnsi"/>
          <w:color w:val="000000"/>
        </w:rPr>
        <w:t xml:space="preserve">initial </w:t>
      </w:r>
      <w:r w:rsidR="007F5D27" w:rsidRPr="007F5D27">
        <w:rPr>
          <w:rFonts w:asciiTheme="minorHAnsi" w:eastAsia="Times New Roman" w:hAnsiTheme="minorHAnsi" w:cstheme="minorHAnsi"/>
          <w:color w:val="000000"/>
        </w:rPr>
        <w:t>scientific evidence</w:t>
      </w:r>
      <w:r w:rsidR="007F5D27">
        <w:rPr>
          <w:rFonts w:asciiTheme="minorHAnsi" w:eastAsia="Times New Roman" w:hAnsiTheme="minorHAnsi" w:cstheme="minorHAnsi"/>
          <w:color w:val="000000"/>
        </w:rPr>
        <w:t xml:space="preserve"> of </w:t>
      </w:r>
      <w:r w:rsidR="00532640">
        <w:rPr>
          <w:rFonts w:asciiTheme="minorHAnsi" w:eastAsia="Times New Roman" w:hAnsiTheme="minorHAnsi" w:cstheme="minorHAnsi"/>
          <w:color w:val="000000"/>
        </w:rPr>
        <w:t>them</w:t>
      </w:r>
      <w:r w:rsidR="007F5D27" w:rsidRPr="007F5D27">
        <w:rPr>
          <w:rFonts w:asciiTheme="minorHAnsi" w:eastAsia="Times New Roman" w:hAnsiTheme="minorHAnsi" w:cstheme="minorHAnsi"/>
          <w:color w:val="000000"/>
        </w:rPr>
        <w:t>, across and within countries.</w:t>
      </w:r>
      <w:r w:rsidR="007F5D27">
        <w:rPr>
          <w:rFonts w:asciiTheme="minorHAnsi" w:eastAsia="Times New Roman" w:hAnsiTheme="minorHAnsi" w:cstheme="minorHAnsi"/>
          <w:color w:val="000000"/>
        </w:rPr>
        <w:t xml:space="preserve"> </w:t>
      </w:r>
      <w:r w:rsidR="00CE5387">
        <w:rPr>
          <w:rFonts w:asciiTheme="minorHAnsi" w:eastAsia="Times New Roman" w:hAnsiTheme="minorHAnsi" w:cstheme="minorHAnsi"/>
          <w:color w:val="000000"/>
        </w:rPr>
        <w:t xml:space="preserve">This is also good news for </w:t>
      </w:r>
      <w:r w:rsidR="00452B04">
        <w:rPr>
          <w:rFonts w:asciiTheme="minorHAnsi" w:eastAsia="Times New Roman" w:hAnsiTheme="minorHAnsi" w:cstheme="minorHAnsi"/>
          <w:color w:val="000000"/>
        </w:rPr>
        <w:t>national decision</w:t>
      </w:r>
      <w:r w:rsidR="00CE5387">
        <w:rPr>
          <w:rFonts w:asciiTheme="minorHAnsi" w:eastAsia="Times New Roman" w:hAnsiTheme="minorHAnsi" w:cstheme="minorHAnsi"/>
          <w:color w:val="000000"/>
        </w:rPr>
        <w:t>-makers</w:t>
      </w:r>
      <w:r w:rsidR="00452B04">
        <w:rPr>
          <w:rFonts w:asciiTheme="minorHAnsi" w:eastAsia="Times New Roman" w:hAnsiTheme="minorHAnsi" w:cstheme="minorHAnsi"/>
          <w:color w:val="000000"/>
        </w:rPr>
        <w:t xml:space="preserve"> who, with increasing data, will be able to demand and use such evidence to inform or reform policies. </w:t>
      </w:r>
    </w:p>
    <w:sectPr w:rsidR="007F5D27" w:rsidRPr="00532640" w:rsidSect="00A56F7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91"/>
    <w:multiLevelType w:val="hybridMultilevel"/>
    <w:tmpl w:val="0928B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313AF"/>
    <w:multiLevelType w:val="hybridMultilevel"/>
    <w:tmpl w:val="2BE8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388A"/>
    <w:multiLevelType w:val="hybridMultilevel"/>
    <w:tmpl w:val="AC54A152"/>
    <w:lvl w:ilvl="0" w:tplc="04090001">
      <w:start w:val="1"/>
      <w:numFmt w:val="bullet"/>
      <w:lvlText w:val=""/>
      <w:lvlJc w:val="left"/>
      <w:pPr>
        <w:tabs>
          <w:tab w:val="num" w:pos="360"/>
        </w:tabs>
        <w:ind w:left="360" w:hanging="360"/>
      </w:pPr>
      <w:rPr>
        <w:rFonts w:ascii="Symbol" w:hAnsi="Symbol" w:hint="default"/>
      </w:rPr>
    </w:lvl>
    <w:lvl w:ilvl="1" w:tplc="982E8A8E">
      <w:start w:val="1"/>
      <w:numFmt w:val="bullet"/>
      <w:lvlText w:val="-"/>
      <w:lvlJc w:val="left"/>
      <w:pPr>
        <w:tabs>
          <w:tab w:val="num" w:pos="1080"/>
        </w:tabs>
        <w:ind w:left="1080" w:hanging="360"/>
      </w:pPr>
      <w:rPr>
        <w:rFonts w:ascii="Calibri" w:hAnsi="Calibri" w:cs="Times New Roman" w:hint="default"/>
      </w:rPr>
    </w:lvl>
    <w:lvl w:ilvl="2" w:tplc="D2A82900">
      <w:start w:val="1"/>
      <w:numFmt w:val="bullet"/>
      <w:lvlText w:val="-"/>
      <w:lvlJc w:val="left"/>
      <w:pPr>
        <w:tabs>
          <w:tab w:val="num" w:pos="1800"/>
        </w:tabs>
        <w:ind w:left="1800" w:hanging="360"/>
      </w:pPr>
      <w:rPr>
        <w:rFonts w:ascii="Calibri" w:hAnsi="Calibri" w:cs="Times New Roman" w:hint="default"/>
      </w:rPr>
    </w:lvl>
    <w:lvl w:ilvl="3" w:tplc="4F7EFD00">
      <w:start w:val="1"/>
      <w:numFmt w:val="bullet"/>
      <w:lvlText w:val="-"/>
      <w:lvlJc w:val="left"/>
      <w:pPr>
        <w:tabs>
          <w:tab w:val="num" w:pos="2520"/>
        </w:tabs>
        <w:ind w:left="2520" w:hanging="360"/>
      </w:pPr>
      <w:rPr>
        <w:rFonts w:ascii="Calibri" w:hAnsi="Calibri" w:cs="Times New Roman" w:hint="default"/>
      </w:rPr>
    </w:lvl>
    <w:lvl w:ilvl="4" w:tplc="B582B4F2">
      <w:start w:val="1"/>
      <w:numFmt w:val="bullet"/>
      <w:lvlText w:val="-"/>
      <w:lvlJc w:val="left"/>
      <w:pPr>
        <w:tabs>
          <w:tab w:val="num" w:pos="3240"/>
        </w:tabs>
        <w:ind w:left="3240" w:hanging="360"/>
      </w:pPr>
      <w:rPr>
        <w:rFonts w:ascii="Calibri" w:hAnsi="Calibri" w:cs="Times New Roman" w:hint="default"/>
      </w:rPr>
    </w:lvl>
    <w:lvl w:ilvl="5" w:tplc="2AF09B0A">
      <w:start w:val="1"/>
      <w:numFmt w:val="bullet"/>
      <w:lvlText w:val="-"/>
      <w:lvlJc w:val="left"/>
      <w:pPr>
        <w:tabs>
          <w:tab w:val="num" w:pos="3960"/>
        </w:tabs>
        <w:ind w:left="3960" w:hanging="360"/>
      </w:pPr>
      <w:rPr>
        <w:rFonts w:ascii="Calibri" w:hAnsi="Calibri" w:cs="Times New Roman" w:hint="default"/>
      </w:rPr>
    </w:lvl>
    <w:lvl w:ilvl="6" w:tplc="6C962284">
      <w:start w:val="1"/>
      <w:numFmt w:val="bullet"/>
      <w:lvlText w:val="-"/>
      <w:lvlJc w:val="left"/>
      <w:pPr>
        <w:tabs>
          <w:tab w:val="num" w:pos="4680"/>
        </w:tabs>
        <w:ind w:left="4680" w:hanging="360"/>
      </w:pPr>
      <w:rPr>
        <w:rFonts w:ascii="Calibri" w:hAnsi="Calibri" w:cs="Times New Roman" w:hint="default"/>
      </w:rPr>
    </w:lvl>
    <w:lvl w:ilvl="7" w:tplc="745EB5C4">
      <w:start w:val="1"/>
      <w:numFmt w:val="bullet"/>
      <w:lvlText w:val="-"/>
      <w:lvlJc w:val="left"/>
      <w:pPr>
        <w:tabs>
          <w:tab w:val="num" w:pos="5400"/>
        </w:tabs>
        <w:ind w:left="5400" w:hanging="360"/>
      </w:pPr>
      <w:rPr>
        <w:rFonts w:ascii="Calibri" w:hAnsi="Calibri" w:cs="Times New Roman" w:hint="default"/>
      </w:rPr>
    </w:lvl>
    <w:lvl w:ilvl="8" w:tplc="C3009438">
      <w:start w:val="1"/>
      <w:numFmt w:val="bullet"/>
      <w:lvlText w:val="-"/>
      <w:lvlJc w:val="left"/>
      <w:pPr>
        <w:tabs>
          <w:tab w:val="num" w:pos="6120"/>
        </w:tabs>
        <w:ind w:left="6120" w:hanging="360"/>
      </w:pPr>
      <w:rPr>
        <w:rFonts w:ascii="Calibri" w:hAnsi="Calibri" w:cs="Times New Roman" w:hint="default"/>
      </w:rPr>
    </w:lvl>
  </w:abstractNum>
  <w:abstractNum w:abstractNumId="3" w15:restartNumberingAfterBreak="0">
    <w:nsid w:val="0E840723"/>
    <w:multiLevelType w:val="hybridMultilevel"/>
    <w:tmpl w:val="8DA67BE4"/>
    <w:lvl w:ilvl="0" w:tplc="1A2EA728">
      <w:start w:val="1"/>
      <w:numFmt w:val="bullet"/>
      <w:lvlText w:val=""/>
      <w:lvlJc w:val="left"/>
      <w:pPr>
        <w:ind w:left="360" w:hanging="360"/>
      </w:pPr>
      <w:rPr>
        <w:rFonts w:ascii="Symbol" w:hAnsi="Symbol" w:hint="default"/>
        <w:color w:val="000000" w:themeColor="text1"/>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E37DD"/>
    <w:multiLevelType w:val="hybridMultilevel"/>
    <w:tmpl w:val="F364ECB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332573"/>
    <w:multiLevelType w:val="hybridMultilevel"/>
    <w:tmpl w:val="EA2C4ECE"/>
    <w:lvl w:ilvl="0" w:tplc="E3667FEA">
      <w:start w:val="1"/>
      <w:numFmt w:val="bullet"/>
      <w:lvlText w:val="-"/>
      <w:lvlJc w:val="left"/>
      <w:pPr>
        <w:tabs>
          <w:tab w:val="num" w:pos="720"/>
        </w:tabs>
        <w:ind w:left="720" w:hanging="360"/>
      </w:pPr>
      <w:rPr>
        <w:rFonts w:ascii="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2A82900">
      <w:start w:val="1"/>
      <w:numFmt w:val="bullet"/>
      <w:lvlText w:val="-"/>
      <w:lvlJc w:val="left"/>
      <w:pPr>
        <w:tabs>
          <w:tab w:val="num" w:pos="2160"/>
        </w:tabs>
        <w:ind w:left="2160" w:hanging="360"/>
      </w:pPr>
      <w:rPr>
        <w:rFonts w:ascii="Calibri" w:hAnsi="Calibri" w:cs="Times New Roman" w:hint="default"/>
      </w:rPr>
    </w:lvl>
    <w:lvl w:ilvl="3" w:tplc="4F7EFD00">
      <w:start w:val="1"/>
      <w:numFmt w:val="bullet"/>
      <w:lvlText w:val="-"/>
      <w:lvlJc w:val="left"/>
      <w:pPr>
        <w:tabs>
          <w:tab w:val="num" w:pos="2880"/>
        </w:tabs>
        <w:ind w:left="2880" w:hanging="360"/>
      </w:pPr>
      <w:rPr>
        <w:rFonts w:ascii="Calibri" w:hAnsi="Calibri" w:cs="Times New Roman" w:hint="default"/>
      </w:rPr>
    </w:lvl>
    <w:lvl w:ilvl="4" w:tplc="B582B4F2">
      <w:start w:val="1"/>
      <w:numFmt w:val="bullet"/>
      <w:lvlText w:val="-"/>
      <w:lvlJc w:val="left"/>
      <w:pPr>
        <w:tabs>
          <w:tab w:val="num" w:pos="3600"/>
        </w:tabs>
        <w:ind w:left="3600" w:hanging="360"/>
      </w:pPr>
      <w:rPr>
        <w:rFonts w:ascii="Calibri" w:hAnsi="Calibri" w:cs="Times New Roman" w:hint="default"/>
      </w:rPr>
    </w:lvl>
    <w:lvl w:ilvl="5" w:tplc="2AF09B0A">
      <w:start w:val="1"/>
      <w:numFmt w:val="bullet"/>
      <w:lvlText w:val="-"/>
      <w:lvlJc w:val="left"/>
      <w:pPr>
        <w:tabs>
          <w:tab w:val="num" w:pos="4320"/>
        </w:tabs>
        <w:ind w:left="4320" w:hanging="360"/>
      </w:pPr>
      <w:rPr>
        <w:rFonts w:ascii="Calibri" w:hAnsi="Calibri" w:cs="Times New Roman" w:hint="default"/>
      </w:rPr>
    </w:lvl>
    <w:lvl w:ilvl="6" w:tplc="6C962284">
      <w:start w:val="1"/>
      <w:numFmt w:val="bullet"/>
      <w:lvlText w:val="-"/>
      <w:lvlJc w:val="left"/>
      <w:pPr>
        <w:tabs>
          <w:tab w:val="num" w:pos="5040"/>
        </w:tabs>
        <w:ind w:left="5040" w:hanging="360"/>
      </w:pPr>
      <w:rPr>
        <w:rFonts w:ascii="Calibri" w:hAnsi="Calibri" w:cs="Times New Roman" w:hint="default"/>
      </w:rPr>
    </w:lvl>
    <w:lvl w:ilvl="7" w:tplc="745EB5C4">
      <w:start w:val="1"/>
      <w:numFmt w:val="bullet"/>
      <w:lvlText w:val="-"/>
      <w:lvlJc w:val="left"/>
      <w:pPr>
        <w:tabs>
          <w:tab w:val="num" w:pos="5760"/>
        </w:tabs>
        <w:ind w:left="5760" w:hanging="360"/>
      </w:pPr>
      <w:rPr>
        <w:rFonts w:ascii="Calibri" w:hAnsi="Calibri" w:cs="Times New Roman" w:hint="default"/>
      </w:rPr>
    </w:lvl>
    <w:lvl w:ilvl="8" w:tplc="C3009438">
      <w:start w:val="1"/>
      <w:numFmt w:val="bullet"/>
      <w:lvlText w:val="-"/>
      <w:lvlJc w:val="left"/>
      <w:pPr>
        <w:tabs>
          <w:tab w:val="num" w:pos="6480"/>
        </w:tabs>
        <w:ind w:left="6480" w:hanging="360"/>
      </w:pPr>
      <w:rPr>
        <w:rFonts w:ascii="Calibri" w:hAnsi="Calibri" w:cs="Times New Roman" w:hint="default"/>
      </w:rPr>
    </w:lvl>
  </w:abstractNum>
  <w:abstractNum w:abstractNumId="6" w15:restartNumberingAfterBreak="0">
    <w:nsid w:val="34DD41AA"/>
    <w:multiLevelType w:val="hybridMultilevel"/>
    <w:tmpl w:val="1A2A3A76"/>
    <w:lvl w:ilvl="0" w:tplc="18780C4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12E0B"/>
    <w:multiLevelType w:val="hybridMultilevel"/>
    <w:tmpl w:val="3D5EC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346AD"/>
    <w:multiLevelType w:val="hybridMultilevel"/>
    <w:tmpl w:val="8FCC1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B10497"/>
    <w:multiLevelType w:val="multilevel"/>
    <w:tmpl w:val="0BF299EC"/>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o"/>
      <w:lvlJc w:val="left"/>
      <w:pPr>
        <w:tabs>
          <w:tab w:val="num" w:pos="1800"/>
        </w:tabs>
        <w:ind w:left="180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C132F65"/>
    <w:multiLevelType w:val="hybridMultilevel"/>
    <w:tmpl w:val="A4D88CBE"/>
    <w:lvl w:ilvl="0" w:tplc="E3667FEA">
      <w:start w:val="1"/>
      <w:numFmt w:val="bullet"/>
      <w:lvlText w:val="-"/>
      <w:lvlJc w:val="left"/>
      <w:pPr>
        <w:tabs>
          <w:tab w:val="num" w:pos="360"/>
        </w:tabs>
        <w:ind w:left="360" w:hanging="360"/>
      </w:pPr>
      <w:rPr>
        <w:rFonts w:ascii="Calibri" w:hAnsi="Calibri" w:cs="Times New Roman" w:hint="default"/>
      </w:rPr>
    </w:lvl>
    <w:lvl w:ilvl="1" w:tplc="982E8A8E">
      <w:start w:val="1"/>
      <w:numFmt w:val="bullet"/>
      <w:lvlText w:val="-"/>
      <w:lvlJc w:val="left"/>
      <w:pPr>
        <w:tabs>
          <w:tab w:val="num" w:pos="1080"/>
        </w:tabs>
        <w:ind w:left="1080" w:hanging="360"/>
      </w:pPr>
      <w:rPr>
        <w:rFonts w:ascii="Calibri" w:hAnsi="Calibri" w:cs="Times New Roman" w:hint="default"/>
      </w:rPr>
    </w:lvl>
    <w:lvl w:ilvl="2" w:tplc="D2A82900">
      <w:start w:val="1"/>
      <w:numFmt w:val="bullet"/>
      <w:lvlText w:val="-"/>
      <w:lvlJc w:val="left"/>
      <w:pPr>
        <w:tabs>
          <w:tab w:val="num" w:pos="1800"/>
        </w:tabs>
        <w:ind w:left="1800" w:hanging="360"/>
      </w:pPr>
      <w:rPr>
        <w:rFonts w:ascii="Calibri" w:hAnsi="Calibri" w:cs="Times New Roman" w:hint="default"/>
      </w:rPr>
    </w:lvl>
    <w:lvl w:ilvl="3" w:tplc="4F7EFD00">
      <w:start w:val="1"/>
      <w:numFmt w:val="bullet"/>
      <w:lvlText w:val="-"/>
      <w:lvlJc w:val="left"/>
      <w:pPr>
        <w:tabs>
          <w:tab w:val="num" w:pos="2520"/>
        </w:tabs>
        <w:ind w:left="2520" w:hanging="360"/>
      </w:pPr>
      <w:rPr>
        <w:rFonts w:ascii="Calibri" w:hAnsi="Calibri" w:cs="Times New Roman" w:hint="default"/>
      </w:rPr>
    </w:lvl>
    <w:lvl w:ilvl="4" w:tplc="B582B4F2">
      <w:start w:val="1"/>
      <w:numFmt w:val="bullet"/>
      <w:lvlText w:val="-"/>
      <w:lvlJc w:val="left"/>
      <w:pPr>
        <w:tabs>
          <w:tab w:val="num" w:pos="3240"/>
        </w:tabs>
        <w:ind w:left="3240" w:hanging="360"/>
      </w:pPr>
      <w:rPr>
        <w:rFonts w:ascii="Calibri" w:hAnsi="Calibri" w:cs="Times New Roman" w:hint="default"/>
      </w:rPr>
    </w:lvl>
    <w:lvl w:ilvl="5" w:tplc="2AF09B0A">
      <w:start w:val="1"/>
      <w:numFmt w:val="bullet"/>
      <w:lvlText w:val="-"/>
      <w:lvlJc w:val="left"/>
      <w:pPr>
        <w:tabs>
          <w:tab w:val="num" w:pos="3960"/>
        </w:tabs>
        <w:ind w:left="3960" w:hanging="360"/>
      </w:pPr>
      <w:rPr>
        <w:rFonts w:ascii="Calibri" w:hAnsi="Calibri" w:cs="Times New Roman" w:hint="default"/>
      </w:rPr>
    </w:lvl>
    <w:lvl w:ilvl="6" w:tplc="6C962284">
      <w:start w:val="1"/>
      <w:numFmt w:val="bullet"/>
      <w:lvlText w:val="-"/>
      <w:lvlJc w:val="left"/>
      <w:pPr>
        <w:tabs>
          <w:tab w:val="num" w:pos="4680"/>
        </w:tabs>
        <w:ind w:left="4680" w:hanging="360"/>
      </w:pPr>
      <w:rPr>
        <w:rFonts w:ascii="Calibri" w:hAnsi="Calibri" w:cs="Times New Roman" w:hint="default"/>
      </w:rPr>
    </w:lvl>
    <w:lvl w:ilvl="7" w:tplc="745EB5C4">
      <w:start w:val="1"/>
      <w:numFmt w:val="bullet"/>
      <w:lvlText w:val="-"/>
      <w:lvlJc w:val="left"/>
      <w:pPr>
        <w:tabs>
          <w:tab w:val="num" w:pos="5400"/>
        </w:tabs>
        <w:ind w:left="5400" w:hanging="360"/>
      </w:pPr>
      <w:rPr>
        <w:rFonts w:ascii="Calibri" w:hAnsi="Calibri" w:cs="Times New Roman" w:hint="default"/>
      </w:rPr>
    </w:lvl>
    <w:lvl w:ilvl="8" w:tplc="C3009438">
      <w:start w:val="1"/>
      <w:numFmt w:val="bullet"/>
      <w:lvlText w:val="-"/>
      <w:lvlJc w:val="left"/>
      <w:pPr>
        <w:tabs>
          <w:tab w:val="num" w:pos="6120"/>
        </w:tabs>
        <w:ind w:left="6120" w:hanging="360"/>
      </w:pPr>
      <w:rPr>
        <w:rFonts w:ascii="Calibri" w:hAnsi="Calibri" w:cs="Times New Roman" w:hint="default"/>
      </w:rPr>
    </w:lvl>
  </w:abstractNum>
  <w:abstractNum w:abstractNumId="11" w15:restartNumberingAfterBreak="0">
    <w:nsid w:val="50C8496C"/>
    <w:multiLevelType w:val="hybridMultilevel"/>
    <w:tmpl w:val="D596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BE5C3A"/>
    <w:multiLevelType w:val="hybridMultilevel"/>
    <w:tmpl w:val="B91C0C08"/>
    <w:lvl w:ilvl="0" w:tplc="E3667FEA">
      <w:start w:val="1"/>
      <w:numFmt w:val="bullet"/>
      <w:lvlText w:val="-"/>
      <w:lvlJc w:val="left"/>
      <w:pPr>
        <w:tabs>
          <w:tab w:val="num" w:pos="720"/>
        </w:tabs>
        <w:ind w:left="720" w:hanging="360"/>
      </w:pPr>
      <w:rPr>
        <w:rFonts w:ascii="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2A82900">
      <w:start w:val="1"/>
      <w:numFmt w:val="bullet"/>
      <w:lvlText w:val="-"/>
      <w:lvlJc w:val="left"/>
      <w:pPr>
        <w:tabs>
          <w:tab w:val="num" w:pos="2160"/>
        </w:tabs>
        <w:ind w:left="2160" w:hanging="360"/>
      </w:pPr>
      <w:rPr>
        <w:rFonts w:ascii="Calibri" w:hAnsi="Calibri" w:cs="Times New Roman" w:hint="default"/>
      </w:rPr>
    </w:lvl>
    <w:lvl w:ilvl="3" w:tplc="4F7EFD00">
      <w:start w:val="1"/>
      <w:numFmt w:val="bullet"/>
      <w:lvlText w:val="-"/>
      <w:lvlJc w:val="left"/>
      <w:pPr>
        <w:tabs>
          <w:tab w:val="num" w:pos="2880"/>
        </w:tabs>
        <w:ind w:left="2880" w:hanging="360"/>
      </w:pPr>
      <w:rPr>
        <w:rFonts w:ascii="Calibri" w:hAnsi="Calibri" w:cs="Times New Roman" w:hint="default"/>
      </w:rPr>
    </w:lvl>
    <w:lvl w:ilvl="4" w:tplc="B582B4F2">
      <w:start w:val="1"/>
      <w:numFmt w:val="bullet"/>
      <w:lvlText w:val="-"/>
      <w:lvlJc w:val="left"/>
      <w:pPr>
        <w:tabs>
          <w:tab w:val="num" w:pos="3600"/>
        </w:tabs>
        <w:ind w:left="3600" w:hanging="360"/>
      </w:pPr>
      <w:rPr>
        <w:rFonts w:ascii="Calibri" w:hAnsi="Calibri" w:cs="Times New Roman" w:hint="default"/>
      </w:rPr>
    </w:lvl>
    <w:lvl w:ilvl="5" w:tplc="2AF09B0A">
      <w:start w:val="1"/>
      <w:numFmt w:val="bullet"/>
      <w:lvlText w:val="-"/>
      <w:lvlJc w:val="left"/>
      <w:pPr>
        <w:tabs>
          <w:tab w:val="num" w:pos="4320"/>
        </w:tabs>
        <w:ind w:left="4320" w:hanging="360"/>
      </w:pPr>
      <w:rPr>
        <w:rFonts w:ascii="Calibri" w:hAnsi="Calibri" w:cs="Times New Roman" w:hint="default"/>
      </w:rPr>
    </w:lvl>
    <w:lvl w:ilvl="6" w:tplc="6C962284">
      <w:start w:val="1"/>
      <w:numFmt w:val="bullet"/>
      <w:lvlText w:val="-"/>
      <w:lvlJc w:val="left"/>
      <w:pPr>
        <w:tabs>
          <w:tab w:val="num" w:pos="5040"/>
        </w:tabs>
        <w:ind w:left="5040" w:hanging="360"/>
      </w:pPr>
      <w:rPr>
        <w:rFonts w:ascii="Calibri" w:hAnsi="Calibri" w:cs="Times New Roman" w:hint="default"/>
      </w:rPr>
    </w:lvl>
    <w:lvl w:ilvl="7" w:tplc="745EB5C4">
      <w:start w:val="1"/>
      <w:numFmt w:val="bullet"/>
      <w:lvlText w:val="-"/>
      <w:lvlJc w:val="left"/>
      <w:pPr>
        <w:tabs>
          <w:tab w:val="num" w:pos="5760"/>
        </w:tabs>
        <w:ind w:left="5760" w:hanging="360"/>
      </w:pPr>
      <w:rPr>
        <w:rFonts w:ascii="Calibri" w:hAnsi="Calibri" w:cs="Times New Roman" w:hint="default"/>
      </w:rPr>
    </w:lvl>
    <w:lvl w:ilvl="8" w:tplc="C3009438">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5837765A"/>
    <w:multiLevelType w:val="hybridMultilevel"/>
    <w:tmpl w:val="7D967CB8"/>
    <w:lvl w:ilvl="0" w:tplc="FCE68916">
      <w:start w:val="1"/>
      <w:numFmt w:val="bullet"/>
      <w:lvlText w:val="-"/>
      <w:lvlJc w:val="left"/>
      <w:pPr>
        <w:tabs>
          <w:tab w:val="num" w:pos="720"/>
        </w:tabs>
        <w:ind w:left="720" w:hanging="360"/>
      </w:pPr>
      <w:rPr>
        <w:rFonts w:ascii="Calibri" w:hAnsi="Calibri" w:cs="Times New Roman" w:hint="default"/>
      </w:rPr>
    </w:lvl>
    <w:lvl w:ilvl="1" w:tplc="B72A6794">
      <w:numFmt w:val="bullet"/>
      <w:lvlText w:val="-"/>
      <w:lvlJc w:val="left"/>
      <w:pPr>
        <w:tabs>
          <w:tab w:val="num" w:pos="1440"/>
        </w:tabs>
        <w:ind w:left="1440" w:hanging="360"/>
      </w:pPr>
      <w:rPr>
        <w:rFonts w:ascii="Calibri" w:hAnsi="Calibri" w:cs="Times New Roman" w:hint="default"/>
      </w:rPr>
    </w:lvl>
    <w:lvl w:ilvl="2" w:tplc="0C1841E4">
      <w:start w:val="1"/>
      <w:numFmt w:val="bullet"/>
      <w:lvlText w:val="-"/>
      <w:lvlJc w:val="left"/>
      <w:pPr>
        <w:tabs>
          <w:tab w:val="num" w:pos="2160"/>
        </w:tabs>
        <w:ind w:left="2160" w:hanging="360"/>
      </w:pPr>
      <w:rPr>
        <w:rFonts w:ascii="Calibri" w:hAnsi="Calibri" w:cs="Times New Roman" w:hint="default"/>
      </w:rPr>
    </w:lvl>
    <w:lvl w:ilvl="3" w:tplc="5B682932">
      <w:start w:val="1"/>
      <w:numFmt w:val="bullet"/>
      <w:lvlText w:val="-"/>
      <w:lvlJc w:val="left"/>
      <w:pPr>
        <w:tabs>
          <w:tab w:val="num" w:pos="2880"/>
        </w:tabs>
        <w:ind w:left="2880" w:hanging="360"/>
      </w:pPr>
      <w:rPr>
        <w:rFonts w:ascii="Calibri" w:hAnsi="Calibri" w:cs="Times New Roman" w:hint="default"/>
      </w:rPr>
    </w:lvl>
    <w:lvl w:ilvl="4" w:tplc="D7F42AAA">
      <w:start w:val="1"/>
      <w:numFmt w:val="bullet"/>
      <w:lvlText w:val="-"/>
      <w:lvlJc w:val="left"/>
      <w:pPr>
        <w:tabs>
          <w:tab w:val="num" w:pos="3600"/>
        </w:tabs>
        <w:ind w:left="3600" w:hanging="360"/>
      </w:pPr>
      <w:rPr>
        <w:rFonts w:ascii="Calibri" w:hAnsi="Calibri" w:cs="Times New Roman" w:hint="default"/>
      </w:rPr>
    </w:lvl>
    <w:lvl w:ilvl="5" w:tplc="31FE41C6">
      <w:start w:val="1"/>
      <w:numFmt w:val="bullet"/>
      <w:lvlText w:val="-"/>
      <w:lvlJc w:val="left"/>
      <w:pPr>
        <w:tabs>
          <w:tab w:val="num" w:pos="4320"/>
        </w:tabs>
        <w:ind w:left="4320" w:hanging="360"/>
      </w:pPr>
      <w:rPr>
        <w:rFonts w:ascii="Calibri" w:hAnsi="Calibri" w:cs="Times New Roman" w:hint="default"/>
      </w:rPr>
    </w:lvl>
    <w:lvl w:ilvl="6" w:tplc="C20A7FD8">
      <w:start w:val="1"/>
      <w:numFmt w:val="bullet"/>
      <w:lvlText w:val="-"/>
      <w:lvlJc w:val="left"/>
      <w:pPr>
        <w:tabs>
          <w:tab w:val="num" w:pos="5040"/>
        </w:tabs>
        <w:ind w:left="5040" w:hanging="360"/>
      </w:pPr>
      <w:rPr>
        <w:rFonts w:ascii="Calibri" w:hAnsi="Calibri" w:cs="Times New Roman" w:hint="default"/>
      </w:rPr>
    </w:lvl>
    <w:lvl w:ilvl="7" w:tplc="ED2EA132">
      <w:start w:val="1"/>
      <w:numFmt w:val="bullet"/>
      <w:lvlText w:val="-"/>
      <w:lvlJc w:val="left"/>
      <w:pPr>
        <w:tabs>
          <w:tab w:val="num" w:pos="5760"/>
        </w:tabs>
        <w:ind w:left="5760" w:hanging="360"/>
      </w:pPr>
      <w:rPr>
        <w:rFonts w:ascii="Calibri" w:hAnsi="Calibri" w:cs="Times New Roman" w:hint="default"/>
      </w:rPr>
    </w:lvl>
    <w:lvl w:ilvl="8" w:tplc="7430B776">
      <w:start w:val="1"/>
      <w:numFmt w:val="bullet"/>
      <w:lvlText w:val="-"/>
      <w:lvlJc w:val="left"/>
      <w:pPr>
        <w:tabs>
          <w:tab w:val="num" w:pos="6480"/>
        </w:tabs>
        <w:ind w:left="6480" w:hanging="360"/>
      </w:pPr>
      <w:rPr>
        <w:rFonts w:ascii="Calibri" w:hAnsi="Calibri" w:cs="Times New Roman" w:hint="default"/>
      </w:rPr>
    </w:lvl>
  </w:abstractNum>
  <w:abstractNum w:abstractNumId="14" w15:restartNumberingAfterBreak="0">
    <w:nsid w:val="5F7F45A3"/>
    <w:multiLevelType w:val="hybridMultilevel"/>
    <w:tmpl w:val="A28089D6"/>
    <w:lvl w:ilvl="0" w:tplc="E3667FEA">
      <w:start w:val="1"/>
      <w:numFmt w:val="bullet"/>
      <w:lvlText w:val="-"/>
      <w:lvlJc w:val="left"/>
      <w:pPr>
        <w:tabs>
          <w:tab w:val="num" w:pos="720"/>
        </w:tabs>
        <w:ind w:left="720" w:hanging="360"/>
      </w:pPr>
      <w:rPr>
        <w:rFonts w:ascii="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2A82900">
      <w:start w:val="1"/>
      <w:numFmt w:val="bullet"/>
      <w:lvlText w:val="-"/>
      <w:lvlJc w:val="left"/>
      <w:pPr>
        <w:tabs>
          <w:tab w:val="num" w:pos="2160"/>
        </w:tabs>
        <w:ind w:left="2160" w:hanging="360"/>
      </w:pPr>
      <w:rPr>
        <w:rFonts w:ascii="Calibri" w:hAnsi="Calibri" w:cs="Times New Roman" w:hint="default"/>
      </w:rPr>
    </w:lvl>
    <w:lvl w:ilvl="3" w:tplc="4F7EFD00">
      <w:start w:val="1"/>
      <w:numFmt w:val="bullet"/>
      <w:lvlText w:val="-"/>
      <w:lvlJc w:val="left"/>
      <w:pPr>
        <w:tabs>
          <w:tab w:val="num" w:pos="2880"/>
        </w:tabs>
        <w:ind w:left="2880" w:hanging="360"/>
      </w:pPr>
      <w:rPr>
        <w:rFonts w:ascii="Calibri" w:hAnsi="Calibri" w:cs="Times New Roman" w:hint="default"/>
      </w:rPr>
    </w:lvl>
    <w:lvl w:ilvl="4" w:tplc="B582B4F2">
      <w:start w:val="1"/>
      <w:numFmt w:val="bullet"/>
      <w:lvlText w:val="-"/>
      <w:lvlJc w:val="left"/>
      <w:pPr>
        <w:tabs>
          <w:tab w:val="num" w:pos="3600"/>
        </w:tabs>
        <w:ind w:left="3600" w:hanging="360"/>
      </w:pPr>
      <w:rPr>
        <w:rFonts w:ascii="Calibri" w:hAnsi="Calibri" w:cs="Times New Roman" w:hint="default"/>
      </w:rPr>
    </w:lvl>
    <w:lvl w:ilvl="5" w:tplc="2AF09B0A">
      <w:start w:val="1"/>
      <w:numFmt w:val="bullet"/>
      <w:lvlText w:val="-"/>
      <w:lvlJc w:val="left"/>
      <w:pPr>
        <w:tabs>
          <w:tab w:val="num" w:pos="4320"/>
        </w:tabs>
        <w:ind w:left="4320" w:hanging="360"/>
      </w:pPr>
      <w:rPr>
        <w:rFonts w:ascii="Calibri" w:hAnsi="Calibri" w:cs="Times New Roman" w:hint="default"/>
      </w:rPr>
    </w:lvl>
    <w:lvl w:ilvl="6" w:tplc="6C962284">
      <w:start w:val="1"/>
      <w:numFmt w:val="bullet"/>
      <w:lvlText w:val="-"/>
      <w:lvlJc w:val="left"/>
      <w:pPr>
        <w:tabs>
          <w:tab w:val="num" w:pos="5040"/>
        </w:tabs>
        <w:ind w:left="5040" w:hanging="360"/>
      </w:pPr>
      <w:rPr>
        <w:rFonts w:ascii="Calibri" w:hAnsi="Calibri" w:cs="Times New Roman" w:hint="default"/>
      </w:rPr>
    </w:lvl>
    <w:lvl w:ilvl="7" w:tplc="745EB5C4">
      <w:start w:val="1"/>
      <w:numFmt w:val="bullet"/>
      <w:lvlText w:val="-"/>
      <w:lvlJc w:val="left"/>
      <w:pPr>
        <w:tabs>
          <w:tab w:val="num" w:pos="5760"/>
        </w:tabs>
        <w:ind w:left="5760" w:hanging="360"/>
      </w:pPr>
      <w:rPr>
        <w:rFonts w:ascii="Calibri" w:hAnsi="Calibri" w:cs="Times New Roman" w:hint="default"/>
      </w:rPr>
    </w:lvl>
    <w:lvl w:ilvl="8" w:tplc="C3009438">
      <w:start w:val="1"/>
      <w:numFmt w:val="bullet"/>
      <w:lvlText w:val="-"/>
      <w:lvlJc w:val="left"/>
      <w:pPr>
        <w:tabs>
          <w:tab w:val="num" w:pos="6480"/>
        </w:tabs>
        <w:ind w:left="6480" w:hanging="360"/>
      </w:pPr>
      <w:rPr>
        <w:rFonts w:ascii="Calibri" w:hAnsi="Calibri" w:cs="Times New Roman" w:hint="default"/>
      </w:rPr>
    </w:lvl>
  </w:abstractNum>
  <w:abstractNum w:abstractNumId="15" w15:restartNumberingAfterBreak="0">
    <w:nsid w:val="6EAA4A2F"/>
    <w:multiLevelType w:val="hybridMultilevel"/>
    <w:tmpl w:val="AD12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F5684"/>
    <w:multiLevelType w:val="hybridMultilevel"/>
    <w:tmpl w:val="BCAC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7752F1"/>
    <w:multiLevelType w:val="hybridMultilevel"/>
    <w:tmpl w:val="6518D0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945819"/>
    <w:multiLevelType w:val="hybridMultilevel"/>
    <w:tmpl w:val="2014E124"/>
    <w:lvl w:ilvl="0" w:tplc="AB4633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0"/>
  </w:num>
  <w:num w:numId="5">
    <w:abstractNumId w:val="11"/>
  </w:num>
  <w:num w:numId="6">
    <w:abstractNumId w:val="12"/>
  </w:num>
  <w:num w:numId="7">
    <w:abstractNumId w:val="5"/>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6"/>
  </w:num>
  <w:num w:numId="13">
    <w:abstractNumId w:val="3"/>
  </w:num>
  <w:num w:numId="14">
    <w:abstractNumId w:val="7"/>
  </w:num>
  <w:num w:numId="15">
    <w:abstractNumId w:val="4"/>
  </w:num>
  <w:num w:numId="16">
    <w:abstractNumId w:val="9"/>
  </w:num>
  <w:num w:numId="17">
    <w:abstractNumId w:val="17"/>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00"/>
    <w:rsid w:val="000F1300"/>
    <w:rsid w:val="003F3E70"/>
    <w:rsid w:val="00452B04"/>
    <w:rsid w:val="00532640"/>
    <w:rsid w:val="00544E10"/>
    <w:rsid w:val="0061589C"/>
    <w:rsid w:val="006E2022"/>
    <w:rsid w:val="007F5D27"/>
    <w:rsid w:val="00815F0C"/>
    <w:rsid w:val="008526E7"/>
    <w:rsid w:val="0087675B"/>
    <w:rsid w:val="009044E6"/>
    <w:rsid w:val="00A56F7F"/>
    <w:rsid w:val="00A743CC"/>
    <w:rsid w:val="00CE5387"/>
    <w:rsid w:val="00DE4223"/>
    <w:rsid w:val="00DF05DF"/>
    <w:rsid w:val="00E25F39"/>
    <w:rsid w:val="00FB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C9D2"/>
  <w15:chartTrackingRefBased/>
  <w15:docId w15:val="{74CDB48B-B1B5-4914-8569-EE801CAD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0F1300"/>
    <w:pPr>
      <w:spacing w:before="100" w:beforeAutospacing="1" w:after="100" w:afterAutospacing="1"/>
    </w:pPr>
  </w:style>
  <w:style w:type="paragraph" w:styleId="ListParagraph">
    <w:name w:val="List Paragraph"/>
    <w:aliases w:val="Dot pt,F5 List Paragraph,List Paragraph1,No Spacing1,List Paragraph Char Char Char,Indicator Text,Numbered Para 1,Bullet 1,List Paragraph12,Bullet Points,MAIN CONTENT,Colorful List - Accent 11,Lapis Bulleted List,List 100s,WB Para,L,3"/>
    <w:basedOn w:val="Normal"/>
    <w:link w:val="ListParagraphChar"/>
    <w:uiPriority w:val="34"/>
    <w:qFormat/>
    <w:rsid w:val="000F1300"/>
    <w:pPr>
      <w:ind w:left="72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544E10"/>
    <w:rPr>
      <w:rFonts w:ascii="Calibri" w:hAnsi="Calibri" w:cs="Calibri"/>
    </w:rPr>
  </w:style>
  <w:style w:type="character" w:customStyle="1" w:styleId="EmailStyle24">
    <w:name w:val="EmailStyle24"/>
    <w:basedOn w:val="DefaultParagraphFont"/>
    <w:rsid w:val="00544E10"/>
    <w:rPr>
      <w:rFonts w:ascii="Arial" w:hAnsi="Arial" w:cs="Arial" w:hint="default"/>
      <w:color w:val="000000"/>
    </w:rPr>
  </w:style>
  <w:style w:type="character" w:customStyle="1" w:styleId="normaltextrun">
    <w:name w:val="normaltextrun"/>
    <w:basedOn w:val="DefaultParagraphFont"/>
    <w:rsid w:val="006E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6204">
      <w:bodyDiv w:val="1"/>
      <w:marLeft w:val="0"/>
      <w:marRight w:val="0"/>
      <w:marTop w:val="0"/>
      <w:marBottom w:val="0"/>
      <w:divBdr>
        <w:top w:val="none" w:sz="0" w:space="0" w:color="auto"/>
        <w:left w:val="none" w:sz="0" w:space="0" w:color="auto"/>
        <w:bottom w:val="none" w:sz="0" w:space="0" w:color="auto"/>
        <w:right w:val="none" w:sz="0" w:space="0" w:color="auto"/>
      </w:divBdr>
    </w:div>
    <w:div w:id="785853276">
      <w:bodyDiv w:val="1"/>
      <w:marLeft w:val="0"/>
      <w:marRight w:val="0"/>
      <w:marTop w:val="0"/>
      <w:marBottom w:val="0"/>
      <w:divBdr>
        <w:top w:val="none" w:sz="0" w:space="0" w:color="auto"/>
        <w:left w:val="none" w:sz="0" w:space="0" w:color="auto"/>
        <w:bottom w:val="none" w:sz="0" w:space="0" w:color="auto"/>
        <w:right w:val="none" w:sz="0" w:space="0" w:color="auto"/>
      </w:divBdr>
    </w:div>
    <w:div w:id="858467203">
      <w:bodyDiv w:val="1"/>
      <w:marLeft w:val="0"/>
      <w:marRight w:val="0"/>
      <w:marTop w:val="0"/>
      <w:marBottom w:val="0"/>
      <w:divBdr>
        <w:top w:val="none" w:sz="0" w:space="0" w:color="auto"/>
        <w:left w:val="none" w:sz="0" w:space="0" w:color="auto"/>
        <w:bottom w:val="none" w:sz="0" w:space="0" w:color="auto"/>
        <w:right w:val="none" w:sz="0" w:space="0" w:color="auto"/>
      </w:divBdr>
    </w:div>
    <w:div w:id="1021316948">
      <w:bodyDiv w:val="1"/>
      <w:marLeft w:val="0"/>
      <w:marRight w:val="0"/>
      <w:marTop w:val="0"/>
      <w:marBottom w:val="0"/>
      <w:divBdr>
        <w:top w:val="none" w:sz="0" w:space="0" w:color="auto"/>
        <w:left w:val="none" w:sz="0" w:space="0" w:color="auto"/>
        <w:bottom w:val="none" w:sz="0" w:space="0" w:color="auto"/>
        <w:right w:val="none" w:sz="0" w:space="0" w:color="auto"/>
      </w:divBdr>
    </w:div>
    <w:div w:id="1047677296">
      <w:bodyDiv w:val="1"/>
      <w:marLeft w:val="0"/>
      <w:marRight w:val="0"/>
      <w:marTop w:val="0"/>
      <w:marBottom w:val="0"/>
      <w:divBdr>
        <w:top w:val="none" w:sz="0" w:space="0" w:color="auto"/>
        <w:left w:val="none" w:sz="0" w:space="0" w:color="auto"/>
        <w:bottom w:val="none" w:sz="0" w:space="0" w:color="auto"/>
        <w:right w:val="none" w:sz="0" w:space="0" w:color="auto"/>
      </w:divBdr>
    </w:div>
    <w:div w:id="1429428958">
      <w:bodyDiv w:val="1"/>
      <w:marLeft w:val="0"/>
      <w:marRight w:val="0"/>
      <w:marTop w:val="0"/>
      <w:marBottom w:val="0"/>
      <w:divBdr>
        <w:top w:val="none" w:sz="0" w:space="0" w:color="auto"/>
        <w:left w:val="none" w:sz="0" w:space="0" w:color="auto"/>
        <w:bottom w:val="none" w:sz="0" w:space="0" w:color="auto"/>
        <w:right w:val="none" w:sz="0" w:space="0" w:color="auto"/>
      </w:divBdr>
    </w:div>
    <w:div w:id="1619264211">
      <w:bodyDiv w:val="1"/>
      <w:marLeft w:val="0"/>
      <w:marRight w:val="0"/>
      <w:marTop w:val="0"/>
      <w:marBottom w:val="0"/>
      <w:divBdr>
        <w:top w:val="none" w:sz="0" w:space="0" w:color="auto"/>
        <w:left w:val="none" w:sz="0" w:space="0" w:color="auto"/>
        <w:bottom w:val="none" w:sz="0" w:space="0" w:color="auto"/>
        <w:right w:val="none" w:sz="0" w:space="0" w:color="auto"/>
      </w:divBdr>
    </w:div>
    <w:div w:id="20541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Kercher</dc:creator>
  <cp:keywords/>
  <dc:description/>
  <cp:lastModifiedBy>madeline.kestler@gmail.com</cp:lastModifiedBy>
  <cp:revision>2</cp:revision>
  <dcterms:created xsi:type="dcterms:W3CDTF">2021-06-23T23:54:00Z</dcterms:created>
  <dcterms:modified xsi:type="dcterms:W3CDTF">2021-06-23T23:54:00Z</dcterms:modified>
</cp:coreProperties>
</file>